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8670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B44E3F6">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CEA024C">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41113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32C919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FD8F3E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797D0D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D4EEAF0">
            <w:pPr>
              <w:pStyle w:val="58"/>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14:paraId="463428F7">
      <w:pPr>
        <w:pStyle w:val="59"/>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A14698A">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2025</w:t>
      </w:r>
      <w:r>
        <w:fldChar w:fldCharType="end"/>
      </w:r>
      <w:bookmarkEnd w:id="7"/>
    </w:p>
    <w:p w14:paraId="5C21BCDB">
      <w:pPr>
        <w:pStyle w:val="197"/>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55702B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60FE233">
      <w:pPr>
        <w:pStyle w:val="59"/>
        <w:framePr w:w="9639" w:h="6976" w:hRule="exact" w:hSpace="0" w:vSpace="0" w:wrap="around" w:hAnchor="page" w:y="6408"/>
        <w:jc w:val="center"/>
        <w:rPr>
          <w:rFonts w:hint="eastAsia" w:ascii="黑体" w:hAnsi="黑体" w:eastAsia="黑体"/>
          <w:b w:val="0"/>
          <w:bCs w:val="0"/>
          <w:w w:val="100"/>
        </w:rPr>
      </w:pPr>
    </w:p>
    <w:p w14:paraId="6A658F73">
      <w:pPr>
        <w:pStyle w:val="198"/>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渔业水体中无机硒形态分析 液相色谱-原子荧光联用法</w:t>
      </w:r>
      <w:r>
        <w:fldChar w:fldCharType="end"/>
      </w:r>
      <w:bookmarkEnd w:id="9"/>
    </w:p>
    <w:p w14:paraId="553D0F36">
      <w:pPr>
        <w:framePr w:w="9639" w:h="6974" w:hRule="exact" w:wrap="around" w:vAnchor="page" w:hAnchor="page" w:x="1419" w:y="6408" w:anchorLock="1"/>
        <w:ind w:left="-1418"/>
      </w:pPr>
    </w:p>
    <w:p w14:paraId="227D5BB1">
      <w:pPr>
        <w:pStyle w:val="127"/>
        <w:framePr w:w="9639" w:h="6974" w:hRule="exact" w:wrap="around" w:vAnchor="page" w:hAnchor="page" w:x="1419" w:y="6408" w:anchorLock="1"/>
        <w:textAlignment w:val="bottom"/>
        <w:rPr>
          <w:rFonts w:eastAsia="黑体"/>
          <w:b/>
          <w:bCs/>
          <w:szCs w:val="28"/>
        </w:rPr>
      </w:pPr>
      <w:r>
        <w:rPr>
          <w:rFonts w:eastAsia="黑体"/>
          <w:b/>
          <w:bCs/>
          <w:szCs w:val="28"/>
        </w:rPr>
        <w:fldChar w:fldCharType="begin">
          <w:ffData>
            <w:name w:val="ESTD_NAME"/>
            <w:enabled/>
            <w:calcOnExit w:val="0"/>
            <w:textInput>
              <w:default w:val="点击此处添加标准名称的英文译名"/>
            </w:textInput>
          </w:ffData>
        </w:fldChar>
      </w:r>
      <w:bookmarkStart w:id="10" w:name="ESTD_NAME"/>
      <w:r>
        <w:rPr>
          <w:rFonts w:eastAsia="黑体"/>
          <w:b/>
          <w:bCs/>
          <w:szCs w:val="28"/>
        </w:rPr>
        <w:instrText xml:space="preserve"> FORMTEXT </w:instrText>
      </w:r>
      <w:r>
        <w:rPr>
          <w:rFonts w:eastAsia="黑体"/>
          <w:b/>
          <w:bCs/>
          <w:szCs w:val="28"/>
        </w:rPr>
        <w:fldChar w:fldCharType="separate"/>
      </w:r>
      <w:r>
        <w:rPr>
          <w:rFonts w:hint="eastAsia" w:eastAsia="黑体"/>
          <w:b/>
          <w:bCs/>
          <w:szCs w:val="28"/>
        </w:rPr>
        <w:t>Morphological analysis of inorganic selenium in fishery water by liquid chromatography-atomic fluorescence</w:t>
      </w:r>
      <w:r>
        <w:rPr>
          <w:rFonts w:eastAsia="黑体"/>
          <w:b/>
          <w:bCs/>
          <w:szCs w:val="28"/>
        </w:rPr>
        <w:fldChar w:fldCharType="end"/>
      </w:r>
      <w:bookmarkEnd w:id="10"/>
    </w:p>
    <w:p w14:paraId="3E335D4F">
      <w:pPr>
        <w:framePr w:w="9639" w:h="6974" w:hRule="exact" w:wrap="around" w:vAnchor="page" w:hAnchor="page" w:x="1419" w:y="6408" w:anchorLock="1"/>
        <w:spacing w:line="760" w:lineRule="exact"/>
        <w:ind w:left="-1418"/>
      </w:pPr>
    </w:p>
    <w:p w14:paraId="538F6887">
      <w:pPr>
        <w:pStyle w:val="127"/>
        <w:framePr w:w="9639" w:h="6974" w:hRule="exact" w:wrap="around" w:vAnchor="page" w:hAnchor="page" w:x="1419" w:y="6408" w:anchorLock="1"/>
        <w:textAlignment w:val="bottom"/>
        <w:rPr>
          <w:rFonts w:eastAsia="黑体"/>
          <w:szCs w:val="28"/>
        </w:rPr>
      </w:pPr>
    </w:p>
    <w:p w14:paraId="3FA9F229">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5BBF70B">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47014D44">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7FE15AD">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9925DE0">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F280D8D">
      <w:pPr>
        <w:pStyle w:val="153"/>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E9CB6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D0DB779">
      <w:pPr>
        <w:pStyle w:val="98"/>
        <w:spacing w:after="468"/>
      </w:pPr>
      <w:bookmarkStart w:id="21" w:name="BookMark1"/>
      <w:r>
        <w:rPr>
          <w:rFonts w:hint="eastAsia"/>
          <w:spacing w:val="320"/>
        </w:rPr>
        <w:t>目</w:t>
      </w:r>
      <w:r>
        <w:rPr>
          <w:rFonts w:hint="eastAsia"/>
        </w:rPr>
        <w:t>次</w:t>
      </w:r>
    </w:p>
    <w:p w14:paraId="4244900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"_Toc187764103" </w:instrText>
      </w:r>
      <w:r>
        <w:fldChar w:fldCharType="separate"/>
      </w:r>
      <w:r>
        <w:rPr>
          <w:rStyle w:val="33"/>
          <w:rFonts w:hint="eastAsia"/>
        </w:rPr>
        <w:t>前言</w:t>
      </w:r>
      <w:r>
        <w:rPr>
          <w:rFonts w:hint="eastAsia"/>
        </w:rPr>
        <w:tab/>
      </w:r>
      <w:r>
        <w:rPr>
          <w:rFonts w:hint="eastAsia"/>
        </w:rPr>
        <w:fldChar w:fldCharType="begin"/>
      </w:r>
      <w:r>
        <w:rPr>
          <w:rFonts w:hint="eastAsia"/>
        </w:rPr>
        <w:instrText xml:space="preserve"> </w:instrText>
      </w:r>
      <w:r>
        <w:instrText xml:space="preserve">PAGEREF _Toc187764103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5B56F632">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"_Toc187764104" </w:instrText>
      </w:r>
      <w:r>
        <w:fldChar w:fldCharType="separate"/>
      </w:r>
      <w:r>
        <w:rPr>
          <w:rStyle w:val="33"/>
          <w:rFonts w:hint="eastAsia"/>
        </w:rPr>
        <w:t>1</w:t>
      </w:r>
      <w:r>
        <w:rPr>
          <w:rStyle w:val="33"/>
        </w:rPr>
        <w:t xml:space="preserve"> </w:t>
      </w:r>
      <w:r>
        <w:rPr>
          <w:rStyle w:val="33"/>
          <w:rFonts w:hint="eastAsia"/>
        </w:rPr>
        <w:t xml:space="preserve"> 范围</w:t>
      </w:r>
      <w:r>
        <w:rPr>
          <w:rFonts w:hint="eastAsia"/>
        </w:rPr>
        <w:tab/>
      </w:r>
      <w:r>
        <w:rPr>
          <w:rFonts w:hint="eastAsia"/>
        </w:rPr>
        <w:fldChar w:fldCharType="begin"/>
      </w:r>
      <w:r>
        <w:rPr>
          <w:rFonts w:hint="eastAsia"/>
        </w:rPr>
        <w:instrText xml:space="preserve"> </w:instrText>
      </w:r>
      <w:r>
        <w:instrText xml:space="preserve">PAGEREF _Toc187764104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22FD43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"_Toc187764105" </w:instrText>
      </w:r>
      <w:r>
        <w:fldChar w:fldCharType="separate"/>
      </w:r>
      <w:r>
        <w:rPr>
          <w:rStyle w:val="33"/>
          <w:rFonts w:hint="eastAsia"/>
        </w:rPr>
        <w:t>2</w:t>
      </w:r>
      <w:r>
        <w:rPr>
          <w:rStyle w:val="33"/>
        </w:rPr>
        <w:t xml:space="preserve"> </w:t>
      </w:r>
      <w:r>
        <w:rPr>
          <w:rStyle w:val="33"/>
          <w:rFonts w:hint="eastAsia"/>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_Toc187764105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6FEC81E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"_Toc187764106" </w:instrText>
      </w:r>
      <w:r>
        <w:fldChar w:fldCharType="separate"/>
      </w:r>
      <w:r>
        <w:rPr>
          <w:rStyle w:val="33"/>
          <w:rFonts w:hint="eastAsia"/>
        </w:rPr>
        <w:t>3</w:t>
      </w:r>
      <w:r>
        <w:rPr>
          <w:rStyle w:val="33"/>
        </w:rPr>
        <w:t xml:space="preserve"> </w:t>
      </w:r>
      <w:r>
        <w:rPr>
          <w:rStyle w:val="33"/>
          <w:rFonts w:hint="eastAsia"/>
        </w:rPr>
        <w:t xml:space="preserve"> 术语和定义</w:t>
      </w:r>
      <w:r>
        <w:rPr>
          <w:rFonts w:hint="eastAsia"/>
        </w:rPr>
        <w:tab/>
      </w:r>
      <w:r>
        <w:rPr>
          <w:rFonts w:hint="eastAsia"/>
        </w:rPr>
        <w:fldChar w:fldCharType="begin"/>
      </w:r>
      <w:r>
        <w:rPr>
          <w:rFonts w:hint="eastAsia"/>
        </w:rPr>
        <w:instrText xml:space="preserve"> </w:instrText>
      </w:r>
      <w:r>
        <w:instrText xml:space="preserve">PAGEREF _Toc187764106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F40E29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"_Toc187764107" </w:instrText>
      </w:r>
      <w:r>
        <w:fldChar w:fldCharType="separate"/>
      </w:r>
      <w:r>
        <w:rPr>
          <w:rStyle w:val="33"/>
          <w:rFonts w:hint="eastAsia"/>
        </w:rPr>
        <w:t>4</w:t>
      </w:r>
      <w:r>
        <w:rPr>
          <w:rStyle w:val="33"/>
        </w:rPr>
        <w:t xml:space="preserve"> </w:t>
      </w:r>
      <w:r>
        <w:rPr>
          <w:rStyle w:val="33"/>
          <w:rFonts w:hint="eastAsia"/>
        </w:rPr>
        <w:t xml:space="preserve"> 方法原理</w:t>
      </w:r>
      <w:r>
        <w:rPr>
          <w:rFonts w:hint="eastAsia"/>
        </w:rPr>
        <w:tab/>
      </w:r>
      <w:r>
        <w:rPr>
          <w:rFonts w:hint="eastAsia"/>
        </w:rPr>
        <w:fldChar w:fldCharType="begin"/>
      </w:r>
      <w:r>
        <w:rPr>
          <w:rFonts w:hint="eastAsia"/>
        </w:rPr>
        <w:instrText xml:space="preserve"> </w:instrText>
      </w:r>
      <w:r>
        <w:instrText xml:space="preserve">PAGEREF _Toc187764107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741D35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"_Toc187764108" </w:instrText>
      </w:r>
      <w:r>
        <w:fldChar w:fldCharType="separate"/>
      </w:r>
      <w:r>
        <w:rPr>
          <w:rStyle w:val="33"/>
          <w:rFonts w:hint="eastAsia"/>
        </w:rPr>
        <w:t>5</w:t>
      </w:r>
      <w:r>
        <w:rPr>
          <w:rStyle w:val="33"/>
        </w:rPr>
        <w:t xml:space="preserve"> </w:t>
      </w:r>
      <w:r>
        <w:rPr>
          <w:rStyle w:val="33"/>
          <w:rFonts w:hint="eastAsia"/>
        </w:rPr>
        <w:t xml:space="preserve"> 试剂与材料</w:t>
      </w:r>
      <w:r>
        <w:rPr>
          <w:rFonts w:hint="eastAsia"/>
        </w:rPr>
        <w:tab/>
      </w:r>
      <w:r>
        <w:rPr>
          <w:rFonts w:hint="eastAsia"/>
        </w:rPr>
        <w:fldChar w:fldCharType="begin"/>
      </w:r>
      <w:r>
        <w:rPr>
          <w:rFonts w:hint="eastAsia"/>
        </w:rPr>
        <w:instrText xml:space="preserve"> </w:instrText>
      </w:r>
      <w:r>
        <w:instrText xml:space="preserve">PAGEREF _Toc187764108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355563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"_Toc187764109" </w:instrText>
      </w:r>
      <w:r>
        <w:fldChar w:fldCharType="separate"/>
      </w:r>
      <w:r>
        <w:rPr>
          <w:rStyle w:val="33"/>
          <w:rFonts w:hint="eastAsia"/>
        </w:rPr>
        <w:t>6</w:t>
      </w:r>
      <w:r>
        <w:rPr>
          <w:rStyle w:val="33"/>
        </w:rPr>
        <w:t xml:space="preserve"> </w:t>
      </w:r>
      <w:r>
        <w:rPr>
          <w:rStyle w:val="33"/>
          <w:rFonts w:hint="eastAsia"/>
        </w:rPr>
        <w:t xml:space="preserve"> 仪器与设备</w:t>
      </w:r>
      <w:r>
        <w:rPr>
          <w:rFonts w:hint="eastAsia"/>
        </w:rPr>
        <w:tab/>
      </w:r>
      <w:r>
        <w:rPr>
          <w:rFonts w:hint="eastAsia"/>
        </w:rPr>
        <w:fldChar w:fldCharType="begin"/>
      </w:r>
      <w:r>
        <w:rPr>
          <w:rFonts w:hint="eastAsia"/>
        </w:rPr>
        <w:instrText xml:space="preserve"> </w:instrText>
      </w:r>
      <w:r>
        <w:instrText xml:space="preserve">PAGEREF _Toc187764109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BD9833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"_Toc187764110" </w:instrText>
      </w:r>
      <w:r>
        <w:fldChar w:fldCharType="separate"/>
      </w:r>
      <w:r>
        <w:rPr>
          <w:rStyle w:val="33"/>
          <w:rFonts w:hint="eastAsia"/>
        </w:rPr>
        <w:t>7</w:t>
      </w:r>
      <w:r>
        <w:rPr>
          <w:rStyle w:val="33"/>
        </w:rPr>
        <w:t xml:space="preserve"> </w:t>
      </w:r>
      <w:r>
        <w:rPr>
          <w:rStyle w:val="33"/>
          <w:rFonts w:hint="eastAsia"/>
        </w:rPr>
        <w:t xml:space="preserve"> 样品</w:t>
      </w:r>
      <w:r>
        <w:rPr>
          <w:rFonts w:hint="eastAsia"/>
        </w:rPr>
        <w:tab/>
      </w:r>
      <w:r>
        <w:rPr>
          <w:rFonts w:hint="eastAsia"/>
        </w:rPr>
        <w:t>3</w:t>
      </w:r>
      <w:r>
        <w:rPr>
          <w:rFonts w:hint="eastAsia"/>
        </w:rPr>
        <w:fldChar w:fldCharType="end"/>
      </w:r>
    </w:p>
    <w:p w14:paraId="728C1C9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"_Toc187764111" </w:instrText>
      </w:r>
      <w:r>
        <w:fldChar w:fldCharType="separate"/>
      </w:r>
      <w:r>
        <w:rPr>
          <w:rStyle w:val="33"/>
          <w:rFonts w:hint="eastAsia"/>
        </w:rPr>
        <w:t>8</w:t>
      </w:r>
      <w:r>
        <w:rPr>
          <w:rStyle w:val="33"/>
        </w:rPr>
        <w:t xml:space="preserve"> </w:t>
      </w:r>
      <w:r>
        <w:rPr>
          <w:rStyle w:val="33"/>
          <w:rFonts w:hint="eastAsia"/>
        </w:rPr>
        <w:t xml:space="preserve"> 测定步骤</w:t>
      </w:r>
      <w:r>
        <w:rPr>
          <w:rFonts w:hint="eastAsia"/>
        </w:rPr>
        <w:tab/>
      </w:r>
      <w:r>
        <w:rPr>
          <w:rFonts w:hint="eastAsia"/>
        </w:rPr>
        <w:t>4</w:t>
      </w:r>
      <w:r>
        <w:rPr>
          <w:rFonts w:hint="eastAsia"/>
        </w:rPr>
        <w:fldChar w:fldCharType="end"/>
      </w:r>
    </w:p>
    <w:p w14:paraId="0431A28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"_Toc187764112" </w:instrText>
      </w:r>
      <w:r>
        <w:fldChar w:fldCharType="separate"/>
      </w:r>
      <w:r>
        <w:rPr>
          <w:rStyle w:val="33"/>
          <w:rFonts w:hint="eastAsia"/>
        </w:rPr>
        <w:t>9</w:t>
      </w:r>
      <w:r>
        <w:rPr>
          <w:rStyle w:val="33"/>
        </w:rPr>
        <w:t xml:space="preserve"> </w:t>
      </w:r>
      <w:r>
        <w:rPr>
          <w:rStyle w:val="33"/>
          <w:rFonts w:hint="eastAsia"/>
        </w:rPr>
        <w:t xml:space="preserve"> 结果计算和表述</w:t>
      </w:r>
      <w:r>
        <w:rPr>
          <w:rFonts w:hint="eastAsia"/>
        </w:rPr>
        <w:tab/>
      </w:r>
      <w:r>
        <w:rPr>
          <w:rFonts w:hint="eastAsia"/>
        </w:rPr>
        <w:fldChar w:fldCharType="begin"/>
      </w:r>
      <w:r>
        <w:rPr>
          <w:rFonts w:hint="eastAsia"/>
        </w:rPr>
        <w:instrText xml:space="preserve"> </w:instrText>
      </w:r>
      <w:r>
        <w:instrText xml:space="preserve">PAGEREF _Toc187764112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F33D3A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"_Toc187764113" </w:instrText>
      </w:r>
      <w:r>
        <w:fldChar w:fldCharType="separate"/>
      </w:r>
      <w:r>
        <w:rPr>
          <w:rStyle w:val="33"/>
          <w:rFonts w:hint="eastAsia"/>
        </w:rPr>
        <w:t>10</w:t>
      </w:r>
      <w:r>
        <w:rPr>
          <w:rStyle w:val="33"/>
        </w:rPr>
        <w:t xml:space="preserve"> </w:t>
      </w:r>
      <w:r>
        <w:rPr>
          <w:rStyle w:val="33"/>
          <w:rFonts w:hint="eastAsia"/>
        </w:rPr>
        <w:t xml:space="preserve"> 检测方法的灵敏度、准确度和精密度</w:t>
      </w:r>
      <w:r>
        <w:rPr>
          <w:rFonts w:hint="eastAsia"/>
        </w:rPr>
        <w:tab/>
      </w:r>
      <w:r>
        <w:rPr>
          <w:rFonts w:hint="eastAsia"/>
        </w:rPr>
        <w:t>4</w:t>
      </w:r>
      <w:r>
        <w:rPr>
          <w:rFonts w:hint="eastAsia"/>
        </w:rPr>
        <w:fldChar w:fldCharType="end"/>
      </w:r>
    </w:p>
    <w:p w14:paraId="024B8EA1">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"_Toc187764114" </w:instrText>
      </w:r>
      <w:r>
        <w:fldChar w:fldCharType="separate"/>
      </w:r>
      <w:r>
        <w:rPr>
          <w:rStyle w:val="33"/>
          <w:rFonts w:hint="eastAsia"/>
        </w:rPr>
        <w:t>附录A  无机硒标准溶液色谱图</w:t>
      </w:r>
      <w:r>
        <w:rPr>
          <w:rFonts w:hint="eastAsia"/>
        </w:rPr>
        <w:tab/>
      </w:r>
      <w:r>
        <w:rPr>
          <w:rFonts w:hint="eastAsia"/>
        </w:rPr>
        <w:t>5</w:t>
      </w:r>
      <w:r>
        <w:rPr>
          <w:rFonts w:hint="eastAsia"/>
        </w:rPr>
        <w:fldChar w:fldCharType="end"/>
      </w:r>
    </w:p>
    <w:p w14:paraId="27AB6BC4">
      <w:pPr>
        <w:pStyle w:val="98"/>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7651F74C">
      <w:pPr>
        <w:pStyle w:val="96"/>
        <w:spacing w:before="900" w:after="468"/>
      </w:pPr>
      <w:bookmarkStart w:id="22" w:name="_Toc187764103"/>
      <w:bookmarkStart w:id="23" w:name="BookMark2"/>
      <w:r>
        <w:rPr>
          <w:rFonts w:hint="eastAsia"/>
          <w:spacing w:val="320"/>
        </w:rPr>
        <w:t>前</w:t>
      </w:r>
      <w:r>
        <w:rPr>
          <w:rFonts w:hint="eastAsia"/>
        </w:rPr>
        <w:t>言</w:t>
      </w:r>
      <w:bookmarkEnd w:id="22"/>
    </w:p>
    <w:p w14:paraId="41891F30">
      <w:pPr>
        <w:pStyle w:val="36"/>
        <w:ind w:firstLine="420"/>
      </w:pPr>
      <w:r>
        <w:rPr>
          <w:rFonts w:hint="eastAsia"/>
        </w:rPr>
        <w:t>本文件按照GB/T 1.1—2020《标准化工作导则  第1部分：标准化文件的结构和起草规则》的规定起草。</w:t>
      </w:r>
    </w:p>
    <w:p w14:paraId="447E4296">
      <w:pPr>
        <w:pStyle w:val="36"/>
        <w:ind w:firstLine="420"/>
      </w:pPr>
      <w:r>
        <w:rPr>
          <w:rFonts w:hint="eastAsia"/>
        </w:rPr>
        <w:t>请注意本文件的某些内容可能涉及专利。本文件的发布机构不承担识别专利的责任。</w:t>
      </w:r>
    </w:p>
    <w:p w14:paraId="3ACD5FA4">
      <w:pPr>
        <w:pStyle w:val="36"/>
        <w:ind w:firstLine="420"/>
      </w:pPr>
      <w:r>
        <w:rPr>
          <w:rFonts w:hint="eastAsia"/>
        </w:rPr>
        <w:t>本文件由湖南省农业农村厅提出。</w:t>
      </w:r>
    </w:p>
    <w:p w14:paraId="73DAE6AC">
      <w:pPr>
        <w:pStyle w:val="36"/>
        <w:ind w:firstLine="420"/>
      </w:pPr>
      <w:r>
        <w:rPr>
          <w:rFonts w:hint="eastAsia"/>
        </w:rPr>
        <w:t>本文件由湖南省农业标准化技术委员会归口。</w:t>
      </w:r>
    </w:p>
    <w:p w14:paraId="2FD05B5B">
      <w:pPr>
        <w:pStyle w:val="36"/>
        <w:ind w:firstLine="420"/>
      </w:pPr>
      <w:r>
        <w:rPr>
          <w:rFonts w:hint="eastAsia"/>
        </w:rPr>
        <w:t>本文件起草单位：湖南省水产研究所（湖南省水产原种场）、农业农村部渔业产品质量检验测试中心（长沙）、北京吉天仪器有限公司。</w:t>
      </w:r>
    </w:p>
    <w:p w14:paraId="674D8A19">
      <w:pPr>
        <w:pStyle w:val="36"/>
        <w:ind w:firstLine="420"/>
      </w:pPr>
      <w:r>
        <w:rPr>
          <w:rFonts w:hint="eastAsia"/>
        </w:rPr>
        <w:t>本文件主要起草人：雷琴、索纹纹、谢玉昆、万译文、李小玲、黄华伟、杨霄、许灿、尹升福、洪波、刘伶俐、陈湘艺、何咏、曾春芳。</w:t>
      </w:r>
    </w:p>
    <w:p w14:paraId="24B7CB55">
      <w:pPr>
        <w:pStyle w:val="3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3A004516">
      <w:pPr>
        <w:spacing w:line="20" w:lineRule="exact"/>
        <w:jc w:val="center"/>
        <w:rPr>
          <w:rFonts w:hint="eastAsia" w:ascii="黑体" w:hAnsi="黑体" w:eastAsia="黑体"/>
          <w:sz w:val="32"/>
          <w:szCs w:val="32"/>
        </w:rPr>
      </w:pPr>
      <w:bookmarkStart w:id="24" w:name="BookMark4"/>
    </w:p>
    <w:p w14:paraId="3767223A">
      <w:pPr>
        <w:spacing w:line="20" w:lineRule="exact"/>
        <w:jc w:val="center"/>
        <w:rPr>
          <w:rFonts w:hint="eastAsia" w:ascii="黑体" w:hAnsi="黑体" w:eastAsia="黑体"/>
          <w:sz w:val="32"/>
          <w:szCs w:val="32"/>
        </w:rPr>
      </w:pPr>
    </w:p>
    <w:sdt>
      <w:sdtPr>
        <w:tag w:val="NEW_STAND_NAME"/>
        <w:id w:val="595910757"/>
        <w:lock w:val="sdtLocked"/>
        <w:placeholder>
          <w:docPart w:val="6A559BAA8D104CC8A8AF055B2329A288"/>
        </w:placeholder>
      </w:sdtPr>
      <w:sdtEndPr>
        <w:rPr>
          <w:rFonts w:hint="eastAsia"/>
        </w:rPr>
      </w:sdtEndPr>
      <w:sdtContent>
        <w:p w14:paraId="0A98DE9E">
          <w:pPr>
            <w:pStyle w:val="178"/>
            <w:spacing w:before="312" w:beforeLines="100" w:after="686" w:afterLines="220"/>
            <w:rPr>
              <w:rFonts w:hint="eastAsia"/>
            </w:rPr>
          </w:pPr>
          <w:bookmarkStart w:id="25" w:name="NEW_STAND_NAME"/>
          <w:r>
            <w:rPr>
              <w:rFonts w:hint="eastAsia"/>
            </w:rPr>
            <w:t>渔业水体中无机硒形态分析 液相色谱-原子荧光联用法</w:t>
          </w:r>
        </w:p>
      </w:sdtContent>
    </w:sdt>
    <w:bookmarkEnd w:id="25"/>
    <w:p w14:paraId="25A11B2F">
      <w:pPr>
        <w:pStyle w:val="35"/>
        <w:spacing w:before="312" w:after="312"/>
      </w:pPr>
      <w:bookmarkStart w:id="26" w:name="_Toc26986530"/>
      <w:bookmarkStart w:id="27" w:name="_Toc17233325"/>
      <w:bookmarkStart w:id="28" w:name="_Toc17233333"/>
      <w:bookmarkStart w:id="29" w:name="_Toc24884218"/>
      <w:bookmarkStart w:id="30" w:name="_Toc24884211"/>
      <w:bookmarkStart w:id="31" w:name="_Toc26986771"/>
      <w:bookmarkStart w:id="32" w:name="_Toc97191423"/>
      <w:bookmarkStart w:id="33" w:name="_Toc26648465"/>
      <w:bookmarkStart w:id="34" w:name="_Toc187764104"/>
      <w:bookmarkStart w:id="35" w:name="_Toc26718930"/>
      <w:r>
        <w:rPr>
          <w:rFonts w:hint="eastAsia"/>
        </w:rPr>
        <w:t>范围</w:t>
      </w:r>
      <w:bookmarkEnd w:id="26"/>
      <w:bookmarkEnd w:id="27"/>
      <w:bookmarkEnd w:id="28"/>
      <w:bookmarkEnd w:id="29"/>
      <w:bookmarkEnd w:id="30"/>
      <w:bookmarkEnd w:id="31"/>
      <w:bookmarkEnd w:id="32"/>
      <w:bookmarkEnd w:id="33"/>
      <w:bookmarkEnd w:id="34"/>
      <w:bookmarkEnd w:id="35"/>
    </w:p>
    <w:p w14:paraId="1F98BF7D">
      <w:pPr>
        <w:pStyle w:val="36"/>
        <w:ind w:firstLine="420"/>
        <w:rPr>
          <w:rFonts w:ascii="宋体" w:hAnsi="Times New Roman" w:eastAsia="宋体" w:cs="Times New Roman"/>
          <w:color w:val="FF0000"/>
        </w:rPr>
      </w:pPr>
      <w:bookmarkStart w:id="36" w:name="_Toc17233334"/>
      <w:bookmarkStart w:id="37" w:name="_Toc24884212"/>
      <w:bookmarkStart w:id="38" w:name="_Toc26648466"/>
      <w:bookmarkStart w:id="39" w:name="_Toc24884219"/>
      <w:bookmarkStart w:id="40" w:name="_Toc17233326"/>
      <w:r>
        <w:rPr>
          <w:rFonts w:hint="eastAsia"/>
        </w:rPr>
        <w:t>本文件</w:t>
      </w:r>
      <w:r>
        <w:rPr>
          <w:rFonts w:hint="eastAsia" w:ascii="Times New Roman" w:eastAsia="宋体"/>
          <w:color w:val="auto"/>
          <w:lang w:val="en-US" w:eastAsia="zh-CN"/>
        </w:rPr>
        <w:t>描述了</w:t>
      </w:r>
      <w:r>
        <w:rPr>
          <w:rFonts w:hint="eastAsia"/>
          <w:color w:val="auto"/>
        </w:rPr>
        <w:t>渔业水体中</w:t>
      </w:r>
      <w:r>
        <w:rPr>
          <w:rFonts w:hint="eastAsia" w:ascii="Times New Roman" w:eastAsia="宋体"/>
          <w:color w:val="auto"/>
          <w:lang w:val="en-US" w:eastAsia="zh-CN"/>
        </w:rPr>
        <w:t>无机硒</w:t>
      </w:r>
      <w:r>
        <w:rPr>
          <w:rFonts w:hint="eastAsia" w:ascii="宋体" w:hAnsi="Times New Roman" w:eastAsia="宋体" w:cs="Times New Roman"/>
          <w:color w:val="auto"/>
          <w:lang w:val="en-US" w:eastAsia="zh-CN"/>
        </w:rPr>
        <w:t>形态分析的液相色谱—原子荧光联用的测定</w:t>
      </w:r>
      <w:r>
        <w:rPr>
          <w:rFonts w:hint="eastAsia" w:ascii="宋体" w:hAnsi="Times New Roman" w:eastAsia="宋体" w:cs="Times New Roman"/>
          <w:color w:val="auto"/>
        </w:rPr>
        <w:t>方法。</w:t>
      </w:r>
    </w:p>
    <w:p w14:paraId="01006B1F">
      <w:pPr>
        <w:pStyle w:val="36"/>
        <w:ind w:firstLine="420"/>
      </w:pPr>
      <w:r>
        <w:rPr>
          <w:rFonts w:hint="eastAsia"/>
        </w:rPr>
        <w:t>本文件适用于渔业水体中无机硒[四价硒Se（IV）、六价硒Se（VI）]的测定。</w:t>
      </w:r>
    </w:p>
    <w:p w14:paraId="081A44EE">
      <w:pPr>
        <w:pStyle w:val="35"/>
        <w:spacing w:before="312" w:after="312"/>
      </w:pPr>
      <w:bookmarkStart w:id="41" w:name="_Toc26986531"/>
      <w:bookmarkStart w:id="42" w:name="_Toc187764105"/>
      <w:bookmarkStart w:id="43" w:name="_Toc97191424"/>
      <w:bookmarkStart w:id="44" w:name="_Toc26718931"/>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69A7BD1C431343DC98789D7A1CF5A7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72D30892">
          <w:pPr>
            <w:pStyle w:val="3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4FCB187">
      <w:pPr>
        <w:pStyle w:val="36"/>
        <w:ind w:firstLine="420"/>
      </w:pPr>
      <w:r>
        <w:rPr>
          <w:rFonts w:hint="eastAsia"/>
        </w:rPr>
        <w:t>GB/T 6682 分析实验室用水规格和试验方法</w:t>
      </w:r>
    </w:p>
    <w:p w14:paraId="0D335A3E">
      <w:pPr>
        <w:pStyle w:val="36"/>
        <w:ind w:firstLine="420"/>
      </w:pPr>
      <w:r>
        <w:rPr>
          <w:rFonts w:hint="eastAsia"/>
        </w:rPr>
        <w:t>SC/T 9102.3  渔业生态环境监测规范 第3部分：淡水</w:t>
      </w:r>
    </w:p>
    <w:p w14:paraId="0619B9F8">
      <w:pPr>
        <w:pStyle w:val="35"/>
        <w:spacing w:before="312" w:after="312"/>
      </w:pPr>
      <w:bookmarkStart w:id="46" w:name="_Toc187764106"/>
      <w:bookmarkStart w:id="47" w:name="_Toc97191425"/>
      <w:r>
        <w:rPr>
          <w:rFonts w:hint="eastAsia"/>
          <w:szCs w:val="21"/>
        </w:rPr>
        <w:t>术语和定义</w:t>
      </w:r>
      <w:bookmarkEnd w:id="46"/>
      <w:bookmarkEnd w:id="47"/>
    </w:p>
    <w:sdt>
      <w:sdtPr>
        <w:id w:val="-1909835108"/>
        <w:placeholder>
          <w:docPart w:val="FC54047CE682466CAB7E12D05648E7F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24001079">
          <w:pPr>
            <w:pStyle w:val="36"/>
            <w:ind w:firstLine="420"/>
          </w:pPr>
          <w:bookmarkStart w:id="48" w:name="_Toc26986532"/>
          <w:bookmarkEnd w:id="48"/>
          <w:r>
            <w:t>本文件没有需要界定的术语和定义。</w:t>
          </w:r>
        </w:p>
      </w:sdtContent>
    </w:sdt>
    <w:p w14:paraId="3184C055">
      <w:pPr>
        <w:pStyle w:val="35"/>
        <w:spacing w:before="312" w:after="312"/>
      </w:pPr>
      <w:bookmarkStart w:id="49" w:name="_Toc187764107"/>
      <w:r>
        <w:rPr>
          <w:rFonts w:hint="eastAsia"/>
        </w:rPr>
        <w:t>方法原理</w:t>
      </w:r>
      <w:bookmarkEnd w:id="49"/>
    </w:p>
    <w:p w14:paraId="4CD35691">
      <w:pPr>
        <w:pStyle w:val="36"/>
        <w:ind w:firstLine="420"/>
        <w:rPr>
          <w:rFonts w:ascii="Times New Roman"/>
        </w:rPr>
      </w:pPr>
      <w:r>
        <w:rPr>
          <w:rFonts w:ascii="Times New Roman"/>
        </w:rPr>
        <w:t>水试样中的无机硒经磷酸二氢钾</w:t>
      </w:r>
      <w:r>
        <w:rPr>
          <w:rFonts w:hint="eastAsia" w:ascii="Times New Roman"/>
        </w:rPr>
        <w:t>—</w:t>
      </w:r>
      <w:r>
        <w:rPr>
          <w:rFonts w:ascii="Times New Roman"/>
        </w:rPr>
        <w:t>硫酸铜溶液浸提后，</w:t>
      </w:r>
      <w:r>
        <w:rPr>
          <w:rFonts w:hint="eastAsia" w:ascii="Times New Roman"/>
        </w:rPr>
        <w:t>使用C</w:t>
      </w:r>
      <w:r>
        <w:rPr>
          <w:rFonts w:hint="eastAsia" w:ascii="Times New Roman"/>
          <w:vertAlign w:val="subscript"/>
        </w:rPr>
        <w:t>18</w:t>
      </w:r>
      <w:r>
        <w:rPr>
          <w:rFonts w:hint="eastAsia" w:ascii="Times New Roman"/>
        </w:rPr>
        <w:t>反相色谱柱分离，色谱流出液进入在线紫外消解系统，在紫外灯照射下Se(VI)与I</w:t>
      </w:r>
      <w:r>
        <w:rPr>
          <w:rFonts w:hint="eastAsia" w:ascii="Times New Roman"/>
          <w:vertAlign w:val="superscript"/>
        </w:rPr>
        <w:t>-</w:t>
      </w:r>
      <w:r>
        <w:rPr>
          <w:rFonts w:hint="eastAsia" w:ascii="Times New Roman"/>
        </w:rPr>
        <w:t>发生电子转移现象，被还原为Se(IV)。</w:t>
      </w:r>
      <w:r>
        <w:rPr>
          <w:rFonts w:ascii="Times New Roman"/>
        </w:rPr>
        <w:t>在酸性环境中Se(IV)</w:t>
      </w:r>
      <w:r>
        <w:rPr>
          <w:rFonts w:hint="eastAsia" w:ascii="Times New Roman"/>
        </w:rPr>
        <w:t>与</w:t>
      </w:r>
      <w:r>
        <w:rPr>
          <w:rFonts w:ascii="Times New Roman"/>
        </w:rPr>
        <w:t>硼氢化钾</w:t>
      </w:r>
      <w:r>
        <w:rPr>
          <w:rFonts w:hint="eastAsia" w:ascii="Times New Roman"/>
        </w:rPr>
        <w:t>在线反应，生</w:t>
      </w:r>
      <w:r>
        <w:rPr>
          <w:rFonts w:ascii="Times New Roman"/>
        </w:rPr>
        <w:t>成硒化氢(H₂Se)</w:t>
      </w:r>
      <w:r>
        <w:rPr>
          <w:rFonts w:hint="eastAsia" w:ascii="Times New Roman"/>
        </w:rPr>
        <w:t>，</w:t>
      </w:r>
      <w:r>
        <w:rPr>
          <w:rFonts w:ascii="Times New Roman"/>
        </w:rPr>
        <w:t>由载气(氩气)带入原子化器中进行原子化，在硒空心阴极灯的发射光激发下产生原子荧光，其荧光强度在固定条件下与被测溶液中的硒浓度成正比，与标准样品比较，以保留时间定性，外标法定量。</w:t>
      </w:r>
    </w:p>
    <w:p w14:paraId="62ACE2C6">
      <w:pPr>
        <w:pStyle w:val="35"/>
        <w:spacing w:before="312" w:after="312"/>
      </w:pPr>
      <w:bookmarkStart w:id="50" w:name="_Toc187764108"/>
      <w:r>
        <w:rPr>
          <w:rFonts w:hint="eastAsia"/>
        </w:rPr>
        <w:t>试剂与材料</w:t>
      </w:r>
      <w:bookmarkEnd w:id="50"/>
    </w:p>
    <w:p w14:paraId="1D84A790">
      <w:pPr>
        <w:pStyle w:val="36"/>
        <w:ind w:firstLine="420"/>
      </w:pPr>
      <w:r>
        <w:rPr>
          <w:rFonts w:hint="eastAsia"/>
        </w:rPr>
        <w:t>除非另有说明，本方法所用试剂均为优级纯，水为GB/T 6682规定的一级水。</w:t>
      </w:r>
    </w:p>
    <w:p w14:paraId="051D0CCB">
      <w:pPr>
        <w:pStyle w:val="38"/>
        <w:spacing w:before="156" w:after="156"/>
      </w:pPr>
      <w:r>
        <w:rPr>
          <w:rFonts w:hint="eastAsia"/>
        </w:rPr>
        <w:t>试剂</w:t>
      </w:r>
    </w:p>
    <w:p w14:paraId="4680742E">
      <w:pPr>
        <w:pStyle w:val="166"/>
        <w:rPr>
          <w:rFonts w:ascii="Times New Roman"/>
        </w:rPr>
      </w:pPr>
      <w:r>
        <w:rPr>
          <w:rFonts w:ascii="Times New Roman"/>
        </w:rPr>
        <w:t>磷酸二氢钾（KH</w:t>
      </w:r>
      <w:r>
        <w:rPr>
          <w:rFonts w:ascii="Times New Roman"/>
          <w:vertAlign w:val="subscript"/>
        </w:rPr>
        <w:t>2</w:t>
      </w:r>
      <w:r>
        <w:rPr>
          <w:rFonts w:ascii="Times New Roman"/>
        </w:rPr>
        <w:t>PO</w:t>
      </w:r>
      <w:r>
        <w:rPr>
          <w:rFonts w:ascii="Times New Roman"/>
          <w:vertAlign w:val="subscript"/>
        </w:rPr>
        <w:t>4</w:t>
      </w:r>
      <w:r>
        <w:rPr>
          <w:rFonts w:ascii="Times New Roman"/>
        </w:rPr>
        <w:t>）</w:t>
      </w:r>
      <w:r>
        <w:rPr>
          <w:rFonts w:hint="eastAsia" w:ascii="Times New Roman"/>
        </w:rPr>
        <w:t>：分析纯</w:t>
      </w:r>
      <w:r>
        <w:rPr>
          <w:rFonts w:ascii="Times New Roman"/>
        </w:rPr>
        <w:t>。</w:t>
      </w:r>
    </w:p>
    <w:p w14:paraId="48F5D789">
      <w:pPr>
        <w:pStyle w:val="166"/>
        <w:rPr>
          <w:rFonts w:ascii="Times New Roman"/>
        </w:rPr>
      </w:pPr>
      <w:r>
        <w:rPr>
          <w:rFonts w:ascii="Times New Roman"/>
        </w:rPr>
        <w:t>磷酸氢二</w:t>
      </w:r>
      <w:r>
        <w:rPr>
          <w:rFonts w:hint="eastAsia" w:ascii="Times New Roman"/>
        </w:rPr>
        <w:t>铵</w:t>
      </w:r>
      <w:r>
        <w:rPr>
          <w:rFonts w:ascii="Times New Roman"/>
        </w:rPr>
        <w:t>（(NH</w:t>
      </w:r>
      <w:r>
        <w:rPr>
          <w:rFonts w:ascii="Times New Roman"/>
          <w:vertAlign w:val="subscript"/>
        </w:rPr>
        <w:t>4</w:t>
      </w:r>
      <w:r>
        <w:rPr>
          <w:rFonts w:ascii="Times New Roman"/>
        </w:rPr>
        <w:t>)</w:t>
      </w:r>
      <w:r>
        <w:rPr>
          <w:rFonts w:ascii="Times New Roman"/>
          <w:vertAlign w:val="subscript"/>
        </w:rPr>
        <w:t>2</w:t>
      </w:r>
      <w:r>
        <w:rPr>
          <w:rFonts w:ascii="Times New Roman"/>
        </w:rPr>
        <w:t>HPO</w:t>
      </w:r>
      <w:r>
        <w:rPr>
          <w:rFonts w:ascii="Times New Roman"/>
          <w:vertAlign w:val="subscript"/>
        </w:rPr>
        <w:t>4</w:t>
      </w:r>
      <w:r>
        <w:rPr>
          <w:rFonts w:ascii="Times New Roman"/>
        </w:rPr>
        <w:t>）</w:t>
      </w:r>
      <w:r>
        <w:rPr>
          <w:rFonts w:hint="eastAsia" w:ascii="Times New Roman"/>
        </w:rPr>
        <w:t>：分析纯</w:t>
      </w:r>
      <w:r>
        <w:rPr>
          <w:rFonts w:ascii="Times New Roman"/>
        </w:rPr>
        <w:t>。</w:t>
      </w:r>
    </w:p>
    <w:p w14:paraId="1A5A7FE8">
      <w:pPr>
        <w:pStyle w:val="166"/>
        <w:rPr>
          <w:rFonts w:ascii="Times New Roman"/>
        </w:rPr>
      </w:pPr>
      <w:r>
        <w:rPr>
          <w:rFonts w:ascii="Times New Roman"/>
        </w:rPr>
        <w:t>五水硫酸铜（CuSO</w:t>
      </w:r>
      <w:r>
        <w:rPr>
          <w:rFonts w:ascii="Times New Roman"/>
          <w:vertAlign w:val="subscript"/>
        </w:rPr>
        <w:t>4</w:t>
      </w:r>
      <w:r>
        <w:rPr>
          <w:rFonts w:ascii="Times New Roman"/>
        </w:rPr>
        <w:t>·5H</w:t>
      </w:r>
      <w:r>
        <w:rPr>
          <w:rFonts w:ascii="Times New Roman"/>
          <w:vertAlign w:val="subscript"/>
        </w:rPr>
        <w:t>2</w:t>
      </w:r>
      <w:r>
        <w:rPr>
          <w:rFonts w:ascii="Times New Roman"/>
        </w:rPr>
        <w:t>O）</w:t>
      </w:r>
      <w:r>
        <w:rPr>
          <w:rFonts w:hint="eastAsia" w:ascii="Times New Roman"/>
        </w:rPr>
        <w:t>：分析纯</w:t>
      </w:r>
    </w:p>
    <w:p w14:paraId="1CE9B8A8">
      <w:pPr>
        <w:pStyle w:val="166"/>
        <w:rPr>
          <w:rFonts w:ascii="Times New Roman"/>
        </w:rPr>
      </w:pPr>
      <w:r>
        <w:rPr>
          <w:rFonts w:ascii="Times New Roman"/>
        </w:rPr>
        <w:t>四丁基溴化铵（TBAB</w:t>
      </w:r>
      <w:r>
        <w:rPr>
          <w:rFonts w:hint="eastAsia" w:ascii="Times New Roman"/>
        </w:rPr>
        <w:t>，</w:t>
      </w:r>
      <w:r>
        <w:rPr>
          <w:rFonts w:ascii="Times New Roman"/>
        </w:rPr>
        <w:t>C</w:t>
      </w:r>
      <w:r>
        <w:rPr>
          <w:rFonts w:ascii="Times New Roman"/>
          <w:vertAlign w:val="subscript"/>
        </w:rPr>
        <w:t>16</w:t>
      </w:r>
      <w:r>
        <w:rPr>
          <w:rFonts w:ascii="Times New Roman"/>
        </w:rPr>
        <w:t>H</w:t>
      </w:r>
      <w:r>
        <w:rPr>
          <w:rFonts w:ascii="Times New Roman"/>
          <w:vertAlign w:val="subscript"/>
        </w:rPr>
        <w:t>36</w:t>
      </w:r>
      <w:r>
        <w:rPr>
          <w:rFonts w:ascii="Times New Roman"/>
        </w:rPr>
        <w:t>BrN）。</w:t>
      </w:r>
    </w:p>
    <w:p w14:paraId="4D5DC28C">
      <w:pPr>
        <w:pStyle w:val="166"/>
        <w:rPr>
          <w:rFonts w:ascii="Times New Roman"/>
        </w:rPr>
      </w:pPr>
      <w:r>
        <w:rPr>
          <w:rFonts w:ascii="Times New Roman"/>
        </w:rPr>
        <w:t>碘化钾（KI）。</w:t>
      </w:r>
    </w:p>
    <w:p w14:paraId="20FD5392">
      <w:pPr>
        <w:pStyle w:val="166"/>
        <w:rPr>
          <w:rFonts w:ascii="Times New Roman"/>
        </w:rPr>
      </w:pPr>
      <w:r>
        <w:rPr>
          <w:rFonts w:hint="eastAsia" w:ascii="Times New Roman"/>
        </w:rPr>
        <w:t>氢氧化钾（KOH）。</w:t>
      </w:r>
    </w:p>
    <w:p w14:paraId="317BD24B">
      <w:pPr>
        <w:pStyle w:val="166"/>
        <w:rPr>
          <w:rFonts w:ascii="Times New Roman"/>
        </w:rPr>
      </w:pPr>
      <w:r>
        <w:rPr>
          <w:rFonts w:hint="eastAsia" w:ascii="Times New Roman"/>
        </w:rPr>
        <w:t>硼氢化钾（KBH</w:t>
      </w:r>
      <w:r>
        <w:rPr>
          <w:rFonts w:hint="eastAsia" w:ascii="Times New Roman"/>
          <w:vertAlign w:val="subscript"/>
        </w:rPr>
        <w:t>4</w:t>
      </w:r>
      <w:r>
        <w:rPr>
          <w:rFonts w:hint="eastAsia" w:ascii="Times New Roman"/>
        </w:rPr>
        <w:t>）。</w:t>
      </w:r>
    </w:p>
    <w:p w14:paraId="763F614F">
      <w:pPr>
        <w:pStyle w:val="166"/>
        <w:rPr>
          <w:rFonts w:ascii="Times New Roman"/>
        </w:rPr>
      </w:pPr>
      <w:r>
        <w:rPr>
          <w:rFonts w:hint="eastAsia" w:ascii="Times New Roman"/>
        </w:rPr>
        <w:t>甲酸（HCOOH）。</w:t>
      </w:r>
    </w:p>
    <w:p w14:paraId="7884FA46">
      <w:pPr>
        <w:pStyle w:val="166"/>
        <w:rPr>
          <w:rFonts w:ascii="Times New Roman"/>
        </w:rPr>
      </w:pPr>
      <w:r>
        <w:rPr>
          <w:rFonts w:hint="eastAsia" w:ascii="Times New Roman"/>
        </w:rPr>
        <w:t>盐酸（HCl）。</w:t>
      </w:r>
    </w:p>
    <w:p w14:paraId="208242E5">
      <w:pPr>
        <w:pStyle w:val="166"/>
        <w:rPr>
          <w:rFonts w:ascii="Times New Roman"/>
        </w:rPr>
      </w:pPr>
      <w:r>
        <w:rPr>
          <w:rFonts w:hint="eastAsia" w:ascii="Times New Roman"/>
        </w:rPr>
        <w:t>甲醇（CH</w:t>
      </w:r>
      <w:r>
        <w:rPr>
          <w:rFonts w:hint="eastAsia" w:ascii="Times New Roman"/>
          <w:vertAlign w:val="subscript"/>
        </w:rPr>
        <w:t>3</w:t>
      </w:r>
      <w:r>
        <w:rPr>
          <w:rFonts w:hint="eastAsia" w:ascii="Times New Roman"/>
        </w:rPr>
        <w:t>OH）：色谱纯。</w:t>
      </w:r>
    </w:p>
    <w:p w14:paraId="404D2196">
      <w:pPr>
        <w:pStyle w:val="166"/>
        <w:rPr>
          <w:rFonts w:ascii="Times New Roman"/>
        </w:rPr>
      </w:pPr>
      <w:r>
        <w:rPr>
          <w:rFonts w:ascii="Times New Roman"/>
        </w:rPr>
        <w:t>氩气</w:t>
      </w:r>
      <w:r>
        <w:rPr>
          <w:rFonts w:hint="eastAsia" w:ascii="Times New Roman"/>
        </w:rPr>
        <w:t>：</w:t>
      </w:r>
      <w:r>
        <w:rPr>
          <w:rFonts w:ascii="Times New Roman"/>
        </w:rPr>
        <w:t>纯度≥99.99%</w:t>
      </w:r>
      <w:r>
        <w:rPr>
          <w:rFonts w:hint="eastAsia" w:ascii="Times New Roman"/>
        </w:rPr>
        <w:t>。</w:t>
      </w:r>
    </w:p>
    <w:p w14:paraId="6A0E3B86">
      <w:pPr>
        <w:pStyle w:val="38"/>
        <w:spacing w:before="156" w:after="156"/>
      </w:pPr>
      <w:r>
        <w:rPr>
          <w:rFonts w:hint="eastAsia"/>
        </w:rPr>
        <w:t>溶液配制</w:t>
      </w:r>
    </w:p>
    <w:p w14:paraId="3F0E812F">
      <w:pPr>
        <w:numPr>
          <w:ilvl w:val="3"/>
          <w:numId w:val="0"/>
        </w:numPr>
        <w:rPr>
          <w:rFonts w:hint="eastAsia" w:ascii="宋体" w:hAnsi="宋体" w:cs="宋体"/>
        </w:rPr>
      </w:pPr>
      <w:r>
        <w:rPr>
          <w:rFonts w:hint="eastAsia" w:ascii="黑体" w:hAnsi="黑体" w:eastAsia="黑体" w:cs="黑体"/>
        </w:rPr>
        <w:t xml:space="preserve">5.2.1 </w:t>
      </w:r>
      <w:r>
        <w:rPr>
          <w:rFonts w:hint="eastAsia" w:ascii="宋体" w:hAnsi="宋体" w:cs="宋体"/>
        </w:rPr>
        <w:t>浸提液</w:t>
      </w:r>
    </w:p>
    <w:p w14:paraId="2A7ECB6E">
      <w:pPr>
        <w:numPr>
          <w:ilvl w:val="3"/>
          <w:numId w:val="0"/>
        </w:numPr>
        <w:ind w:firstLine="420" w:firstLineChars="200"/>
        <w:rPr>
          <w:rFonts w:ascii="Times New Roman" w:hAnsi="Times New Roman"/>
        </w:rPr>
      </w:pPr>
      <w:r>
        <w:rPr>
          <w:rFonts w:ascii="Times New Roman" w:hAnsi="Times New Roman"/>
        </w:rPr>
        <w:t>0.1 mol/L磷酸二氢钾溶液+1.56</w:t>
      </w:r>
      <w:r>
        <w:rPr>
          <w:rFonts w:hint="eastAsia" w:ascii="Times New Roman" w:hAnsi="Times New Roman"/>
        </w:rPr>
        <w:t xml:space="preserve"> </w:t>
      </w:r>
      <w:r>
        <w:rPr>
          <w:rFonts w:ascii="Times New Roman" w:hAnsi="Times New Roman"/>
        </w:rPr>
        <w:t>mmol/L的硫酸铜溶液：称取13.61</w:t>
      </w:r>
      <w:r>
        <w:rPr>
          <w:rFonts w:hint="eastAsia" w:ascii="Times New Roman" w:hAnsi="Times New Roman"/>
        </w:rPr>
        <w:t xml:space="preserve"> </w:t>
      </w:r>
      <w:r>
        <w:rPr>
          <w:rFonts w:ascii="Times New Roman" w:hAnsi="Times New Roman"/>
        </w:rPr>
        <w:t>g磷酸二氢钾，用少量水溶解后，再加入65 mg五水硫酸铜</w:t>
      </w:r>
      <w:r>
        <w:rPr>
          <w:rFonts w:hint="eastAsia" w:ascii="Times New Roman" w:hAnsi="Times New Roman"/>
        </w:rPr>
        <w:t>，</w:t>
      </w:r>
      <w:r>
        <w:rPr>
          <w:rFonts w:ascii="Times New Roman" w:hAnsi="Times New Roman"/>
        </w:rPr>
        <w:t>溶解后</w:t>
      </w:r>
      <w:r>
        <w:rPr>
          <w:rFonts w:hint="eastAsia" w:ascii="Times New Roman" w:hAnsi="Times New Roman"/>
        </w:rPr>
        <w:t>用纯水</w:t>
      </w:r>
      <w:r>
        <w:rPr>
          <w:rFonts w:ascii="Times New Roman" w:hAnsi="Times New Roman"/>
        </w:rPr>
        <w:t>定容至1000</w:t>
      </w:r>
      <w:r>
        <w:rPr>
          <w:rFonts w:hint="eastAsia" w:ascii="Times New Roman" w:hAnsi="Times New Roman"/>
        </w:rPr>
        <w:t xml:space="preserve"> </w:t>
      </w:r>
      <w:r>
        <w:rPr>
          <w:rFonts w:ascii="Times New Roman" w:hAnsi="Times New Roman"/>
        </w:rPr>
        <w:t>mL。配制后4℃保存≤7天，避免Cu²⁺氧化生成Cu(OH)₂沉淀</w:t>
      </w:r>
      <w:r>
        <w:rPr>
          <w:rFonts w:hint="eastAsia" w:ascii="Times New Roman" w:hAnsi="Times New Roman"/>
        </w:rPr>
        <w:t>。</w:t>
      </w:r>
    </w:p>
    <w:p w14:paraId="5D4F0F41">
      <w:pPr>
        <w:numPr>
          <w:ilvl w:val="3"/>
          <w:numId w:val="0"/>
        </w:numPr>
        <w:rPr>
          <w:rFonts w:ascii="Times New Roman" w:hAnsi="Times New Roman"/>
        </w:rPr>
      </w:pPr>
      <w:r>
        <w:rPr>
          <w:rFonts w:hint="eastAsia" w:ascii="黑体" w:hAnsi="黑体" w:eastAsia="黑体" w:cs="黑体"/>
        </w:rPr>
        <w:t xml:space="preserve">5.2.2 </w:t>
      </w:r>
      <w:r>
        <w:rPr>
          <w:rFonts w:ascii="Times New Roman" w:hAnsi="Times New Roman"/>
        </w:rPr>
        <w:t>流动相</w:t>
      </w:r>
    </w:p>
    <w:p w14:paraId="3D0917B7">
      <w:pPr>
        <w:numPr>
          <w:ilvl w:val="3"/>
          <w:numId w:val="0"/>
        </w:numPr>
        <w:ind w:firstLine="420" w:firstLineChars="200"/>
        <w:rPr>
          <w:rFonts w:ascii="Times New Roman" w:hAnsi="Times New Roman"/>
        </w:rPr>
      </w:pPr>
      <w:r>
        <w:rPr>
          <w:rFonts w:ascii="Times New Roman" w:hAnsi="Times New Roman"/>
        </w:rPr>
        <w:t>2</w:t>
      </w:r>
      <w:r>
        <w:rPr>
          <w:rFonts w:hint="eastAsia" w:ascii="Times New Roman" w:hAnsi="Times New Roman"/>
        </w:rPr>
        <w:t xml:space="preserve"> </w:t>
      </w:r>
      <w:r>
        <w:rPr>
          <w:rFonts w:ascii="Times New Roman" w:hAnsi="Times New Roman"/>
        </w:rPr>
        <w:t>%甲醇+30 mmol/L磷酸氢二铵+0.5 mmol/L四丁基溴化铵溶液(pH=6.0)：称取3.9618g磷酸氢二铵、0.1612 g四丁基溴化铵，溶于水中，加入20 mL甲醇，用水定容至1000 mL，之后用甲酸调节pH=6.0, 0.45 μm滤膜(水相)过滤，</w:t>
      </w:r>
      <w:r>
        <w:rPr>
          <w:rFonts w:hint="eastAsia" w:ascii="Times New Roman" w:hAnsi="Times New Roman"/>
        </w:rPr>
        <w:t>临用前</w:t>
      </w:r>
      <w:r>
        <w:rPr>
          <w:rFonts w:ascii="Times New Roman" w:hAnsi="Times New Roman"/>
        </w:rPr>
        <w:t>超声脱气。</w:t>
      </w:r>
    </w:p>
    <w:p w14:paraId="20DF9EED">
      <w:pPr>
        <w:numPr>
          <w:ilvl w:val="3"/>
          <w:numId w:val="0"/>
        </w:numPr>
        <w:rPr>
          <w:rFonts w:ascii="Times New Roman" w:hAnsi="Times New Roman"/>
        </w:rPr>
      </w:pPr>
      <w:r>
        <w:rPr>
          <w:rFonts w:hint="eastAsia" w:ascii="黑体" w:hAnsi="黑体" w:eastAsia="黑体" w:cs="黑体"/>
        </w:rPr>
        <w:t xml:space="preserve">5.2.3 </w:t>
      </w:r>
      <w:r>
        <w:rPr>
          <w:rFonts w:ascii="Times New Roman" w:hAnsi="Times New Roman"/>
        </w:rPr>
        <w:t>还原剂</w:t>
      </w:r>
    </w:p>
    <w:p w14:paraId="3DE09C9A">
      <w:pPr>
        <w:numPr>
          <w:ilvl w:val="3"/>
          <w:numId w:val="0"/>
        </w:numPr>
        <w:ind w:firstLine="420" w:firstLineChars="200"/>
        <w:rPr>
          <w:rFonts w:ascii="Times New Roman" w:hAnsi="Times New Roman"/>
        </w:rPr>
      </w:pPr>
      <w:r>
        <w:rPr>
          <w:rFonts w:ascii="Times New Roman" w:hAnsi="Times New Roman"/>
        </w:rPr>
        <w:t>0.5</w:t>
      </w:r>
      <w:r>
        <w:rPr>
          <w:rFonts w:hint="eastAsia" w:ascii="Times New Roman" w:hAnsi="Times New Roman"/>
        </w:rPr>
        <w:t xml:space="preserve"> </w:t>
      </w:r>
      <w:r>
        <w:rPr>
          <w:rFonts w:ascii="Times New Roman" w:hAnsi="Times New Roman"/>
        </w:rPr>
        <w:t>%氢氧化钾溶液+2</w:t>
      </w:r>
      <w:r>
        <w:rPr>
          <w:rFonts w:hint="eastAsia" w:ascii="Times New Roman" w:hAnsi="Times New Roman"/>
        </w:rPr>
        <w:t xml:space="preserve"> </w:t>
      </w:r>
      <w:r>
        <w:rPr>
          <w:rFonts w:ascii="Times New Roman" w:hAnsi="Times New Roman"/>
        </w:rPr>
        <w:t>%硼氢化钾+</w:t>
      </w:r>
      <w:r>
        <w:rPr>
          <w:rFonts w:hint="eastAsia" w:ascii="Times New Roman" w:hAnsi="Times New Roman"/>
        </w:rPr>
        <w:t xml:space="preserve">0.2 </w:t>
      </w:r>
      <w:r>
        <w:rPr>
          <w:rFonts w:ascii="Times New Roman" w:hAnsi="Times New Roman"/>
        </w:rPr>
        <w:t>%碘化钾：称取5</w:t>
      </w:r>
      <w:r>
        <w:rPr>
          <w:rFonts w:hint="eastAsia" w:ascii="Times New Roman" w:hAnsi="Times New Roman"/>
        </w:rPr>
        <w:t xml:space="preserve"> </w:t>
      </w:r>
      <w:r>
        <w:rPr>
          <w:rFonts w:ascii="Times New Roman" w:hAnsi="Times New Roman"/>
        </w:rPr>
        <w:t>g氢氧化钾</w:t>
      </w:r>
      <w:r>
        <w:rPr>
          <w:rFonts w:hint="eastAsia" w:ascii="Times New Roman" w:hAnsi="Times New Roman"/>
          <w:lang w:eastAsia="zh-CN"/>
        </w:rPr>
        <w:t>、</w:t>
      </w:r>
      <w:r>
        <w:rPr>
          <w:rFonts w:ascii="Times New Roman" w:hAnsi="Times New Roman"/>
        </w:rPr>
        <w:t>20</w:t>
      </w:r>
      <w:r>
        <w:rPr>
          <w:rFonts w:hint="eastAsia" w:ascii="Times New Roman" w:hAnsi="Times New Roman"/>
        </w:rPr>
        <w:t xml:space="preserve"> </w:t>
      </w:r>
      <w:r>
        <w:rPr>
          <w:rFonts w:ascii="Times New Roman" w:hAnsi="Times New Roman"/>
        </w:rPr>
        <w:t>g硼氢化钾、</w:t>
      </w:r>
      <w:r>
        <w:rPr>
          <w:rFonts w:hint="eastAsia" w:ascii="Times New Roman" w:hAnsi="Times New Roman"/>
          <w:color w:val="FF0000"/>
        </w:rPr>
        <w:t>2</w:t>
      </w:r>
      <w:r>
        <w:rPr>
          <w:rFonts w:hint="eastAsia" w:ascii="Times New Roman" w:hAnsi="Times New Roman"/>
          <w:color w:val="FF0000"/>
          <w:lang w:val="en-US" w:eastAsia="zh-CN"/>
        </w:rPr>
        <w:t xml:space="preserve"> </w:t>
      </w:r>
      <w:r>
        <w:rPr>
          <w:rFonts w:ascii="Times New Roman" w:hAnsi="Times New Roman"/>
          <w:color w:val="FF0000"/>
        </w:rPr>
        <w:t>g</w:t>
      </w:r>
      <w:r>
        <w:rPr>
          <w:rFonts w:hint="eastAsia" w:ascii="Times New Roman" w:hAnsi="Times New Roman"/>
        </w:rPr>
        <w:t>碘化钾</w:t>
      </w:r>
      <w:r>
        <w:rPr>
          <w:rFonts w:ascii="Times New Roman" w:hAnsi="Times New Roman"/>
        </w:rPr>
        <w:t>，用水溶解并定容至1000</w:t>
      </w:r>
      <w:r>
        <w:rPr>
          <w:rFonts w:hint="eastAsia" w:ascii="Times New Roman" w:hAnsi="Times New Roman"/>
        </w:rPr>
        <w:t xml:space="preserve"> </w:t>
      </w:r>
      <w:r>
        <w:rPr>
          <w:rFonts w:ascii="Times New Roman" w:hAnsi="Times New Roman"/>
        </w:rPr>
        <w:t>mL。</w:t>
      </w:r>
      <w:r>
        <w:rPr>
          <w:rFonts w:hint="eastAsia" w:ascii="Times New Roman" w:hAnsi="Times New Roman"/>
          <w:lang w:val="en-US" w:eastAsia="zh-CN"/>
        </w:rPr>
        <w:t>现配现用</w:t>
      </w:r>
      <w:r>
        <w:rPr>
          <w:rFonts w:hint="eastAsia" w:ascii="Times New Roman" w:hAnsi="Times New Roman"/>
        </w:rPr>
        <w:t>。</w:t>
      </w:r>
    </w:p>
    <w:p w14:paraId="6CE483C1">
      <w:pPr>
        <w:numPr>
          <w:ilvl w:val="3"/>
          <w:numId w:val="0"/>
        </w:numPr>
        <w:rPr>
          <w:rFonts w:hint="eastAsia" w:ascii="宋体" w:hAnsi="宋体" w:cs="宋体"/>
        </w:rPr>
      </w:pPr>
      <w:r>
        <w:rPr>
          <w:rFonts w:hint="eastAsia" w:ascii="黑体" w:hAnsi="黑体" w:eastAsia="黑体" w:cs="黑体"/>
        </w:rPr>
        <w:t xml:space="preserve">5.2.4 </w:t>
      </w:r>
      <w:r>
        <w:rPr>
          <w:rFonts w:hint="eastAsia" w:ascii="宋体" w:hAnsi="宋体" w:cs="宋体"/>
        </w:rPr>
        <w:t>载流</w:t>
      </w:r>
    </w:p>
    <w:p w14:paraId="159F6BB7">
      <w:pPr>
        <w:numPr>
          <w:ilvl w:val="3"/>
          <w:numId w:val="0"/>
        </w:numPr>
        <w:ind w:firstLine="420" w:firstLineChars="200"/>
        <w:rPr>
          <w:rFonts w:ascii="Times New Roman" w:hAnsi="Times New Roman"/>
        </w:rPr>
      </w:pPr>
      <w:r>
        <w:rPr>
          <w:rFonts w:ascii="Times New Roman" w:hAnsi="Times New Roman"/>
        </w:rPr>
        <w:t>10%盐酸溶液：量取100 mL盐酸，用水定容至1000 mL。</w:t>
      </w:r>
      <w:r>
        <w:rPr>
          <w:rFonts w:hint="eastAsia" w:ascii="Times New Roman" w:hAnsi="Times New Roman"/>
        </w:rPr>
        <w:t>需在使用前配制。</w:t>
      </w:r>
    </w:p>
    <w:p w14:paraId="1FF414D6">
      <w:pPr>
        <w:pStyle w:val="38"/>
        <w:spacing w:before="156" w:after="156"/>
      </w:pPr>
      <w:r>
        <w:rPr>
          <w:rFonts w:hint="eastAsia"/>
        </w:rPr>
        <w:t>标准品</w:t>
      </w:r>
    </w:p>
    <w:p w14:paraId="71D028E9">
      <w:pPr>
        <w:pStyle w:val="166"/>
        <w:numPr>
          <w:ilvl w:val="3"/>
          <w:numId w:val="0"/>
        </w:numPr>
        <w:rPr>
          <w:rFonts w:ascii="Times New Roman" w:cs="宋体"/>
        </w:rPr>
      </w:pPr>
      <w:r>
        <w:rPr>
          <w:rFonts w:hint="eastAsia" w:ascii="黑体" w:hAnsi="黑体" w:eastAsia="黑体" w:cs="黑体"/>
        </w:rPr>
        <w:t xml:space="preserve">5.3.1  </w:t>
      </w:r>
      <w:r>
        <w:rPr>
          <w:rFonts w:hint="eastAsia" w:ascii="Times New Roman"/>
          <w:kern w:val="2"/>
          <w:szCs w:val="21"/>
        </w:rPr>
        <w:t>Se（IV）标准溶液：</w:t>
      </w:r>
      <w:r>
        <w:rPr>
          <w:rFonts w:ascii="Times New Roman"/>
          <w:kern w:val="2"/>
          <w:szCs w:val="21"/>
        </w:rPr>
        <w:t>亚硒酸根标准溶液（GBW10032</w:t>
      </w:r>
      <w:r>
        <w:rPr>
          <w:rFonts w:ascii="Times New Roman"/>
        </w:rPr>
        <w:t>），浓度为42.86 μg/mL（以硒计）</w:t>
      </w:r>
      <w:r>
        <w:rPr>
          <w:rFonts w:hint="eastAsia" w:ascii="Times New Roman"/>
        </w:rPr>
        <w:t>。</w:t>
      </w:r>
    </w:p>
    <w:p w14:paraId="59BE644F">
      <w:pPr>
        <w:widowControl/>
        <w:autoSpaceDE w:val="0"/>
        <w:autoSpaceDN w:val="0"/>
        <w:adjustRightInd/>
      </w:pPr>
      <w:r>
        <w:rPr>
          <w:rFonts w:hint="eastAsia" w:ascii="黑体" w:hAnsi="黑体" w:eastAsia="黑体" w:cs="黑体"/>
        </w:rPr>
        <w:t xml:space="preserve">5.3.2 </w:t>
      </w:r>
      <w:r>
        <w:rPr>
          <w:rFonts w:hint="eastAsia" w:ascii="Times New Roman" w:hAnsi="Times New Roman" w:cs="宋体"/>
        </w:rPr>
        <w:t xml:space="preserve"> </w:t>
      </w:r>
      <w:r>
        <w:rPr>
          <w:rFonts w:hint="eastAsia" w:ascii="Times New Roman" w:hAnsi="Times New Roman"/>
        </w:rPr>
        <w:t>Se（VI）标准溶液：硒酸根标准溶液（GBW10033），</w:t>
      </w:r>
      <w:r>
        <w:rPr>
          <w:rFonts w:ascii="Times New Roman" w:hAnsi="Times New Roman"/>
        </w:rPr>
        <w:t>浓度为41.5 μg/mL（以硒计）</w:t>
      </w:r>
      <w:r>
        <w:rPr>
          <w:rFonts w:hint="eastAsia" w:ascii="Times New Roman" w:hAnsi="Times New Roman"/>
        </w:rPr>
        <w:t>。</w:t>
      </w:r>
    </w:p>
    <w:p w14:paraId="781B19AA">
      <w:pPr>
        <w:pStyle w:val="38"/>
        <w:spacing w:before="156" w:after="156"/>
      </w:pPr>
      <w:r>
        <w:rPr>
          <w:rFonts w:hint="eastAsia"/>
        </w:rPr>
        <w:t>标准溶液配制</w:t>
      </w:r>
    </w:p>
    <w:p w14:paraId="42B48F56">
      <w:pPr>
        <w:pStyle w:val="166"/>
        <w:numPr>
          <w:ilvl w:val="3"/>
          <w:numId w:val="0"/>
        </w:numPr>
        <w:ind w:firstLine="420" w:firstLineChars="200"/>
        <w:rPr>
          <w:rFonts w:ascii="Times New Roman"/>
          <w:color w:val="auto"/>
        </w:rPr>
      </w:pPr>
      <w:r>
        <w:rPr>
          <w:rFonts w:ascii="Times New Roman"/>
          <w:color w:val="auto"/>
        </w:rPr>
        <w:t>无机硒混合标准</w:t>
      </w:r>
      <w:r>
        <w:rPr>
          <w:rFonts w:hint="eastAsia" w:ascii="Times New Roman"/>
          <w:color w:val="auto"/>
        </w:rPr>
        <w:t>使用</w:t>
      </w:r>
      <w:r>
        <w:rPr>
          <w:rFonts w:ascii="Times New Roman"/>
          <w:color w:val="auto"/>
        </w:rPr>
        <w:t>液（1 μg/mL）：准确称取</w:t>
      </w:r>
      <w:r>
        <w:rPr>
          <w:rFonts w:ascii="Times New Roman"/>
          <w:color w:val="auto"/>
          <w:kern w:val="2"/>
          <w:szCs w:val="21"/>
        </w:rPr>
        <w:t>0.2331 g</w:t>
      </w:r>
      <w:r>
        <w:rPr>
          <w:rFonts w:ascii="Times New Roman" w:eastAsia="黑体"/>
          <w:color w:val="auto"/>
        </w:rPr>
        <w:t xml:space="preserve"> </w:t>
      </w:r>
      <w:r>
        <w:rPr>
          <w:rFonts w:ascii="Times New Roman"/>
          <w:color w:val="auto"/>
          <w:kern w:val="2"/>
          <w:szCs w:val="21"/>
        </w:rPr>
        <w:t>Se（IV）标准溶液（</w:t>
      </w:r>
      <w:r>
        <w:rPr>
          <w:rFonts w:ascii="Times New Roman" w:eastAsia="黑体"/>
          <w:color w:val="auto"/>
        </w:rPr>
        <w:t>5.3.1</w:t>
      </w:r>
      <w:r>
        <w:rPr>
          <w:rFonts w:ascii="Times New Roman"/>
          <w:color w:val="auto"/>
          <w:kern w:val="2"/>
          <w:szCs w:val="21"/>
        </w:rPr>
        <w:t>）、0.2409 g Se（VI）（5.3.2）标准溶液</w:t>
      </w:r>
      <w:r>
        <w:rPr>
          <w:rFonts w:hint="default" w:ascii="Times New Roman" w:hAnsi="Times New Roman" w:cs="Times New Roman"/>
          <w:color w:val="auto"/>
        </w:rPr>
        <w:t>于</w:t>
      </w:r>
      <w:r>
        <w:rPr>
          <w:rFonts w:hint="default" w:ascii="Times New Roman" w:hAnsi="Times New Roman" w:cs="Times New Roman"/>
          <w:color w:val="auto"/>
          <w:lang w:val="en-US" w:eastAsia="zh-CN"/>
        </w:rPr>
        <w:t>10</w:t>
      </w:r>
      <w:r>
        <w:rPr>
          <w:rFonts w:hint="default" w:ascii="Times New Roman" w:hAnsi="Times New Roman" w:cs="Times New Roman"/>
          <w:color w:val="auto"/>
        </w:rPr>
        <w:t xml:space="preserve"> mL聚丙烯容量瓶</w:t>
      </w:r>
      <w:r>
        <w:rPr>
          <w:rFonts w:hint="eastAsia" w:ascii="Times New Roman" w:cs="Times New Roman"/>
          <w:color w:val="auto"/>
          <w:lang w:val="en-US" w:eastAsia="zh-CN"/>
        </w:rPr>
        <w:t>中</w:t>
      </w:r>
      <w:r>
        <w:rPr>
          <w:rFonts w:hint="default" w:ascii="Times New Roman" w:hAnsi="Times New Roman" w:cs="Times New Roman"/>
          <w:color w:val="auto"/>
        </w:rPr>
        <w:t>，用水</w:t>
      </w:r>
      <w:r>
        <w:rPr>
          <w:rFonts w:hint="default" w:ascii="Times New Roman" w:hAnsi="Times New Roman" w:cs="Times New Roman"/>
          <w:color w:val="auto"/>
          <w:lang w:val="en-US" w:eastAsia="zh-CN"/>
        </w:rPr>
        <w:t>稀释</w:t>
      </w:r>
      <w:r>
        <w:rPr>
          <w:rFonts w:hint="default" w:ascii="Times New Roman" w:hAnsi="Times New Roman" w:cs="Times New Roman"/>
          <w:color w:val="auto"/>
        </w:rPr>
        <w:t>定容</w:t>
      </w:r>
      <w:r>
        <w:rPr>
          <w:rFonts w:ascii="Times New Roman"/>
          <w:color w:val="auto"/>
        </w:rPr>
        <w:t>，配制成浓度为1 μg/mL的无机硒混合标准</w:t>
      </w:r>
      <w:r>
        <w:rPr>
          <w:rFonts w:hint="eastAsia" w:ascii="Times New Roman"/>
          <w:color w:val="auto"/>
        </w:rPr>
        <w:t>使用</w:t>
      </w:r>
      <w:r>
        <w:rPr>
          <w:rFonts w:ascii="Times New Roman"/>
          <w:color w:val="auto"/>
        </w:rPr>
        <w:t>液。4 ℃以下避光保存，有效期</w:t>
      </w:r>
      <w:r>
        <w:rPr>
          <w:rFonts w:hint="eastAsia" w:ascii="Times New Roman"/>
          <w:color w:val="auto"/>
        </w:rPr>
        <w:t>1</w:t>
      </w:r>
      <w:r>
        <w:rPr>
          <w:rFonts w:ascii="Times New Roman"/>
          <w:color w:val="auto"/>
        </w:rPr>
        <w:t>个月。</w:t>
      </w:r>
    </w:p>
    <w:p w14:paraId="23EBA465">
      <w:pPr>
        <w:pStyle w:val="38"/>
        <w:spacing w:before="156" w:after="156"/>
      </w:pPr>
      <w:r>
        <w:rPr>
          <w:rFonts w:hint="eastAsia"/>
        </w:rPr>
        <w:t>材料</w:t>
      </w:r>
    </w:p>
    <w:p w14:paraId="220E7B7A">
      <w:pPr>
        <w:pStyle w:val="166"/>
      </w:pPr>
      <w:r>
        <w:rPr>
          <w:rFonts w:hint="eastAsia"/>
        </w:rPr>
        <w:t>容量瓶：10 mL，聚丙烯材质。</w:t>
      </w:r>
    </w:p>
    <w:p w14:paraId="20A3C76C">
      <w:pPr>
        <w:pStyle w:val="166"/>
      </w:pPr>
      <w:r>
        <w:rPr>
          <w:rFonts w:hint="eastAsia"/>
        </w:rPr>
        <w:t>样品瓶：500 mL，聚丙烯材质。</w:t>
      </w:r>
    </w:p>
    <w:p w14:paraId="46263461">
      <w:pPr>
        <w:pStyle w:val="166"/>
      </w:pPr>
      <w:r>
        <w:rPr>
          <w:rFonts w:hint="eastAsia"/>
        </w:rPr>
        <w:t>离心管：10 mL，聚丙烯材质。</w:t>
      </w:r>
    </w:p>
    <w:p w14:paraId="42B44547">
      <w:pPr>
        <w:pStyle w:val="166"/>
      </w:pPr>
      <w:r>
        <w:rPr>
          <w:rFonts w:hint="eastAsia"/>
        </w:rPr>
        <w:t>进样瓶：2 mL，聚丙烯材质。</w:t>
      </w:r>
    </w:p>
    <w:p w14:paraId="18D29F0B">
      <w:pPr>
        <w:pStyle w:val="35"/>
        <w:spacing w:before="312" w:after="312"/>
      </w:pPr>
      <w:bookmarkStart w:id="51" w:name="_Toc187764109"/>
      <w:r>
        <w:rPr>
          <w:rFonts w:hint="eastAsia"/>
        </w:rPr>
        <w:t>仪器与设备</w:t>
      </w:r>
      <w:bookmarkEnd w:id="51"/>
    </w:p>
    <w:p w14:paraId="632C3233">
      <w:pPr>
        <w:pStyle w:val="36"/>
        <w:ind w:firstLine="420"/>
      </w:pPr>
      <w:r>
        <w:rPr>
          <w:rFonts w:hint="eastAsia"/>
        </w:rPr>
        <w:t>注：实验中所用玻璃仪器均需以硝酸(1+4)浸泡过夜，用水反复冲洗，最后用去离子水冲冼干净。</w:t>
      </w:r>
    </w:p>
    <w:p w14:paraId="318EBA20">
      <w:pPr>
        <w:pStyle w:val="163"/>
      </w:pPr>
      <w:bookmarkStart w:id="52" w:name="OLE_LINK2"/>
      <w:r>
        <w:rPr>
          <w:rFonts w:ascii="Times New Roman"/>
        </w:rPr>
        <w:t>液相色谱-原子荧光联用仪（LC-AFS）</w:t>
      </w:r>
      <w:r>
        <w:rPr>
          <w:rFonts w:hint="eastAsia"/>
        </w:rPr>
        <w:t>：由液相色谱仪（包括液相色谱泵和进样阀）与原子荧光光谱仪组成。</w:t>
      </w:r>
    </w:p>
    <w:bookmarkEnd w:id="52"/>
    <w:p w14:paraId="4B87312B">
      <w:pPr>
        <w:pStyle w:val="163"/>
      </w:pPr>
      <w:bookmarkStart w:id="53" w:name="OLE_LINK3"/>
      <w:r>
        <w:rPr>
          <w:rFonts w:hint="eastAsia"/>
        </w:rPr>
        <w:t>分析天平：感量0.01 g和0.00001 g。</w:t>
      </w:r>
    </w:p>
    <w:bookmarkEnd w:id="53"/>
    <w:p w14:paraId="1C762CC5">
      <w:pPr>
        <w:pStyle w:val="163"/>
      </w:pPr>
      <w:r>
        <w:rPr>
          <w:rFonts w:hint="eastAsia"/>
        </w:rPr>
        <w:t>高速离心机：转速≥8000 r/min。</w:t>
      </w:r>
    </w:p>
    <w:p w14:paraId="7CA0357D">
      <w:pPr>
        <w:pStyle w:val="163"/>
      </w:pPr>
      <w:r>
        <w:rPr>
          <w:rFonts w:hint="eastAsia"/>
        </w:rPr>
        <w:t>电热板。</w:t>
      </w:r>
    </w:p>
    <w:p w14:paraId="2930F7E5">
      <w:pPr>
        <w:pStyle w:val="163"/>
      </w:pPr>
      <w:r>
        <w:rPr>
          <w:rFonts w:hint="eastAsia"/>
        </w:rPr>
        <w:t>超级恒温混匀仪。</w:t>
      </w:r>
    </w:p>
    <w:p w14:paraId="56A2CCDA">
      <w:pPr>
        <w:pStyle w:val="163"/>
        <w:rPr>
          <w:rFonts w:ascii="Times New Roman"/>
        </w:rPr>
      </w:pPr>
      <w:r>
        <w:rPr>
          <w:rFonts w:ascii="Times New Roman"/>
        </w:rPr>
        <w:t>pH计：精度为0.01</w:t>
      </w:r>
      <w:r>
        <w:rPr>
          <w:rFonts w:hint="eastAsia" w:ascii="Times New Roman"/>
        </w:rPr>
        <w:t>。</w:t>
      </w:r>
    </w:p>
    <w:p w14:paraId="0508E7AE">
      <w:pPr>
        <w:pStyle w:val="163"/>
        <w:rPr>
          <w:rFonts w:ascii="Times New Roman"/>
          <w:color w:val="auto"/>
        </w:rPr>
      </w:pPr>
      <w:r>
        <w:rPr>
          <w:rFonts w:ascii="Times New Roman"/>
          <w:color w:val="auto"/>
        </w:rPr>
        <w:t>针筒式过滤器</w:t>
      </w:r>
      <w:r>
        <w:rPr>
          <w:rFonts w:hint="eastAsia" w:ascii="Times New Roman"/>
          <w:color w:val="auto"/>
          <w:lang w:eastAsia="zh-CN"/>
        </w:rPr>
        <w:t>：</w:t>
      </w:r>
      <w:r>
        <w:rPr>
          <w:rFonts w:hint="eastAsia" w:ascii="Times New Roman"/>
          <w:color w:val="auto"/>
          <w:lang w:val="en-US" w:eastAsia="zh-CN"/>
        </w:rPr>
        <w:t>5 mL。</w:t>
      </w:r>
    </w:p>
    <w:p w14:paraId="3E99BE08">
      <w:pPr>
        <w:pStyle w:val="163"/>
        <w:rPr>
          <w:rFonts w:ascii="Times New Roman"/>
          <w:color w:val="auto"/>
        </w:rPr>
      </w:pPr>
      <w:r>
        <w:rPr>
          <w:rFonts w:ascii="Times New Roman"/>
          <w:color w:val="auto"/>
        </w:rPr>
        <w:t>滤膜</w:t>
      </w:r>
      <w:r>
        <w:rPr>
          <w:rFonts w:hint="eastAsia" w:ascii="Times New Roman"/>
          <w:color w:val="auto"/>
          <w:lang w:val="en-US" w:eastAsia="zh-CN"/>
        </w:rPr>
        <w:t xml:space="preserve">: </w:t>
      </w:r>
      <w:r>
        <w:rPr>
          <w:rFonts w:ascii="Times New Roman"/>
          <w:color w:val="auto"/>
        </w:rPr>
        <w:t>0.45</w:t>
      </w:r>
      <w:r>
        <w:rPr>
          <w:rFonts w:hint="eastAsia" w:ascii="Times New Roman"/>
          <w:color w:val="auto"/>
        </w:rPr>
        <w:t xml:space="preserve"> </w:t>
      </w:r>
      <w:r>
        <w:rPr>
          <w:rFonts w:ascii="Times New Roman"/>
          <w:color w:val="auto"/>
        </w:rPr>
        <w:t>μm</w:t>
      </w:r>
      <w:r>
        <w:rPr>
          <w:rFonts w:hint="eastAsia" w:ascii="Times New Roman"/>
          <w:color w:val="auto"/>
        </w:rPr>
        <w:t>。</w:t>
      </w:r>
    </w:p>
    <w:p w14:paraId="2B1C15E5">
      <w:pPr>
        <w:pStyle w:val="35"/>
        <w:spacing w:before="312" w:after="312"/>
      </w:pPr>
      <w:bookmarkStart w:id="54" w:name="_Toc187764110"/>
      <w:r>
        <w:rPr>
          <w:rFonts w:hint="eastAsia"/>
        </w:rPr>
        <w:t>样品</w:t>
      </w:r>
      <w:bookmarkEnd w:id="54"/>
    </w:p>
    <w:p w14:paraId="6F80B5A0">
      <w:pPr>
        <w:pStyle w:val="38"/>
        <w:spacing w:before="156" w:after="156"/>
      </w:pPr>
      <w:r>
        <w:rPr>
          <w:rFonts w:hint="eastAsia"/>
        </w:rPr>
        <w:t>样品采集</w:t>
      </w:r>
    </w:p>
    <w:p w14:paraId="37C4A73F">
      <w:pPr>
        <w:pStyle w:val="36"/>
        <w:ind w:firstLine="420"/>
        <w:rPr>
          <w:rFonts w:hint="default" w:ascii="Times New Roman" w:hAnsi="Times New Roman" w:cs="Times New Roman"/>
        </w:rPr>
      </w:pPr>
      <w:r>
        <w:rPr>
          <w:rFonts w:hint="default" w:ascii="Times New Roman" w:hAnsi="Times New Roman" w:cs="Times New Roman"/>
        </w:rPr>
        <w:t>水样按照SC/T 9102.3规定的方法进行采集。</w:t>
      </w:r>
    </w:p>
    <w:p w14:paraId="0E50F9ED">
      <w:pPr>
        <w:pStyle w:val="38"/>
        <w:spacing w:before="156" w:after="156"/>
      </w:pPr>
      <w:r>
        <w:rPr>
          <w:rFonts w:hint="eastAsia"/>
        </w:rPr>
        <w:t>试样制备</w:t>
      </w:r>
    </w:p>
    <w:p w14:paraId="5390AB00">
      <w:pPr>
        <w:pStyle w:val="36"/>
        <w:ind w:firstLine="420"/>
      </w:pPr>
      <w:r>
        <w:rPr>
          <w:rFonts w:hint="default" w:ascii="Times New Roman" w:hAnsi="Times New Roman" w:cs="Times New Roman"/>
        </w:rPr>
        <w:t>水样采样量应不少于500 mL，置于样品瓶中，0 ℃</w:t>
      </w:r>
      <w:r>
        <w:rPr>
          <w:rFonts w:hint="default" w:ascii="Times New Roman" w:hAnsi="Times New Roman" w:cs="Times New Roman"/>
          <w:color w:val="000000" w:themeColor="text1"/>
          <w14:textFill>
            <w14:solidFill>
              <w14:schemeClr w14:val="tx1"/>
            </w14:solidFill>
          </w14:textFill>
        </w:rPr>
        <w:t>～</w:t>
      </w:r>
      <w:r>
        <w:rPr>
          <w:rFonts w:hint="default" w:ascii="Times New Roman" w:hAnsi="Times New Roman" w:cs="Times New Roman"/>
        </w:rPr>
        <w:t>4 ℃避光保存</w:t>
      </w:r>
      <w:r>
        <w:rPr>
          <w:rFonts w:hint="eastAsia"/>
        </w:rPr>
        <w:t>。</w:t>
      </w:r>
    </w:p>
    <w:p w14:paraId="6FFCF7CA">
      <w:pPr>
        <w:pStyle w:val="38"/>
        <w:spacing w:before="156" w:after="156"/>
      </w:pPr>
      <w:r>
        <w:rPr>
          <w:rFonts w:hint="eastAsia"/>
        </w:rPr>
        <w:t>空白试样制备</w:t>
      </w:r>
    </w:p>
    <w:p w14:paraId="56BAE396">
      <w:pPr>
        <w:pStyle w:val="36"/>
        <w:ind w:firstLine="420"/>
      </w:pPr>
      <w:r>
        <w:rPr>
          <w:rFonts w:hint="eastAsia"/>
        </w:rPr>
        <w:t>选取不含无机硒的同类样品，按照7.2进行制备。</w:t>
      </w:r>
    </w:p>
    <w:p w14:paraId="5AB9DE36">
      <w:pPr>
        <w:pStyle w:val="35"/>
        <w:spacing w:before="312" w:after="312"/>
      </w:pPr>
      <w:bookmarkStart w:id="55" w:name="_Toc187764111"/>
      <w:r>
        <w:rPr>
          <w:rFonts w:hint="eastAsia"/>
        </w:rPr>
        <w:t>测定步骤</w:t>
      </w:r>
      <w:bookmarkEnd w:id="55"/>
    </w:p>
    <w:p w14:paraId="278EACF6">
      <w:pPr>
        <w:pStyle w:val="38"/>
        <w:spacing w:before="156" w:after="156"/>
      </w:pPr>
      <w:r>
        <w:rPr>
          <w:rFonts w:hint="eastAsia"/>
        </w:rPr>
        <w:t>试样前处理</w:t>
      </w:r>
    </w:p>
    <w:p w14:paraId="278E3010">
      <w:pPr>
        <w:pStyle w:val="36"/>
        <w:ind w:firstLine="420"/>
        <w:rPr>
          <w:rFonts w:ascii="Times New Roman"/>
        </w:rPr>
      </w:pPr>
      <w:bookmarkStart w:id="56" w:name="OLE_LINK4"/>
      <w:r>
        <w:rPr>
          <w:rFonts w:ascii="Times New Roman"/>
        </w:rPr>
        <w:t>准确吸取试样30 mL(精确到0.01</w:t>
      </w:r>
      <w:r>
        <w:rPr>
          <w:rFonts w:hint="eastAsia" w:ascii="Times New Roman"/>
        </w:rPr>
        <w:t xml:space="preserve"> </w:t>
      </w:r>
      <w:r>
        <w:rPr>
          <w:rFonts w:ascii="Times New Roman"/>
        </w:rPr>
        <w:t>mL)于100</w:t>
      </w:r>
      <w:r>
        <w:rPr>
          <w:rFonts w:hint="eastAsia" w:ascii="Times New Roman"/>
        </w:rPr>
        <w:t xml:space="preserve"> </w:t>
      </w:r>
      <w:r>
        <w:rPr>
          <w:rFonts w:ascii="Times New Roman"/>
        </w:rPr>
        <w:t>mL短颈小烧杯中，</w:t>
      </w:r>
      <w:r>
        <w:rPr>
          <w:rFonts w:hint="eastAsia" w:ascii="Times New Roman"/>
        </w:rPr>
        <w:t>在150 ℃左右</w:t>
      </w:r>
      <w:r>
        <w:rPr>
          <w:rFonts w:ascii="Times New Roman"/>
        </w:rPr>
        <w:t>加热浓缩至1</w:t>
      </w:r>
      <w:r>
        <w:rPr>
          <w:rFonts w:hint="eastAsia" w:ascii="Times New Roman"/>
        </w:rPr>
        <w:t xml:space="preserve"> </w:t>
      </w:r>
      <w:r>
        <w:rPr>
          <w:rFonts w:ascii="Times New Roman"/>
        </w:rPr>
        <w:t>mL以下，转入10</w:t>
      </w:r>
      <w:r>
        <w:rPr>
          <w:rFonts w:hint="eastAsia" w:ascii="Times New Roman"/>
        </w:rPr>
        <w:t xml:space="preserve"> </w:t>
      </w:r>
      <w:r>
        <w:rPr>
          <w:rFonts w:ascii="Times New Roman"/>
        </w:rPr>
        <w:t>mL离心管中，用浸提液(</w:t>
      </w:r>
      <w:r>
        <w:rPr>
          <w:rFonts w:hint="eastAsia" w:ascii="Times New Roman"/>
        </w:rPr>
        <w:t>5</w:t>
      </w:r>
      <w:r>
        <w:rPr>
          <w:rFonts w:ascii="Times New Roman"/>
        </w:rPr>
        <w:t>.2.1)定容至5</w:t>
      </w:r>
      <w:r>
        <w:rPr>
          <w:rFonts w:hint="eastAsia" w:ascii="Times New Roman"/>
        </w:rPr>
        <w:t xml:space="preserve"> </w:t>
      </w:r>
      <w:r>
        <w:rPr>
          <w:rFonts w:ascii="Times New Roman"/>
        </w:rPr>
        <w:t>mL</w:t>
      </w:r>
      <w:r>
        <w:rPr>
          <w:rFonts w:hint="eastAsia" w:ascii="Times New Roman"/>
        </w:rPr>
        <w:t>，</w:t>
      </w:r>
      <w:r>
        <w:rPr>
          <w:rFonts w:ascii="Times New Roman"/>
        </w:rPr>
        <w:t>在超级恒温混匀仪上</w:t>
      </w:r>
      <w:r>
        <w:rPr>
          <w:rFonts w:hint="eastAsia" w:ascii="Times New Roman"/>
          <w:color w:val="FF0000"/>
          <w:lang w:eastAsia="zh-CN"/>
        </w:rPr>
        <w:t>于</w:t>
      </w:r>
      <w:r>
        <w:rPr>
          <w:rFonts w:ascii="Times New Roman"/>
        </w:rPr>
        <w:t>70</w:t>
      </w:r>
      <w:r>
        <w:rPr>
          <w:rFonts w:hint="eastAsia" w:ascii="Times New Roman"/>
        </w:rPr>
        <w:t xml:space="preserve"> </w:t>
      </w:r>
      <w:r>
        <w:rPr>
          <w:rFonts w:ascii="Times New Roman"/>
        </w:rPr>
        <w:t>℃、1500</w:t>
      </w:r>
      <w:r>
        <w:rPr>
          <w:rFonts w:hint="eastAsia" w:ascii="Times New Roman"/>
        </w:rPr>
        <w:t xml:space="preserve"> </w:t>
      </w:r>
      <w:r>
        <w:rPr>
          <w:rFonts w:ascii="Times New Roman"/>
        </w:rPr>
        <w:t>r/min条件下振荡浸提30</w:t>
      </w:r>
      <w:r>
        <w:rPr>
          <w:rFonts w:hint="eastAsia" w:ascii="Times New Roman"/>
        </w:rPr>
        <w:t xml:space="preserve"> </w:t>
      </w:r>
      <w:r>
        <w:rPr>
          <w:rFonts w:ascii="Times New Roman"/>
        </w:rPr>
        <w:t>min</w:t>
      </w:r>
      <w:r>
        <w:rPr>
          <w:rFonts w:hint="eastAsia" w:ascii="Times New Roman"/>
        </w:rPr>
        <w:t>后，</w:t>
      </w:r>
      <w:r>
        <w:rPr>
          <w:rFonts w:ascii="Times New Roman"/>
        </w:rPr>
        <w:t>3000</w:t>
      </w:r>
      <w:r>
        <w:rPr>
          <w:rFonts w:hint="eastAsia" w:ascii="Times New Roman"/>
        </w:rPr>
        <w:t xml:space="preserve"> </w:t>
      </w:r>
      <w:r>
        <w:rPr>
          <w:rFonts w:ascii="Times New Roman"/>
        </w:rPr>
        <w:t>r/min离心10</w:t>
      </w:r>
      <w:r>
        <w:rPr>
          <w:rFonts w:hint="eastAsia" w:ascii="Times New Roman"/>
        </w:rPr>
        <w:t xml:space="preserve"> </w:t>
      </w:r>
      <w:r>
        <w:rPr>
          <w:rFonts w:ascii="Times New Roman"/>
        </w:rPr>
        <w:t>min,</w:t>
      </w:r>
      <w:r>
        <w:rPr>
          <w:rFonts w:hint="eastAsia" w:ascii="Times New Roman"/>
        </w:rPr>
        <w:t xml:space="preserve"> </w:t>
      </w:r>
      <w:r>
        <w:rPr>
          <w:rFonts w:ascii="Times New Roman"/>
        </w:rPr>
        <w:t>用0.45</w:t>
      </w:r>
      <w:r>
        <w:rPr>
          <w:rFonts w:hint="eastAsia" w:ascii="Times New Roman"/>
        </w:rPr>
        <w:t xml:space="preserve"> </w:t>
      </w:r>
      <w:r>
        <w:rPr>
          <w:rFonts w:ascii="Times New Roman"/>
        </w:rPr>
        <w:t>μm滤膜(水相)过滤，滤液装入聚丙烯进样瓶</w:t>
      </w:r>
      <w:r>
        <w:rPr>
          <w:rFonts w:hint="eastAsia" w:ascii="Times New Roman"/>
        </w:rPr>
        <w:t>待测。</w:t>
      </w:r>
      <w:r>
        <w:rPr>
          <w:rFonts w:ascii="Times New Roman"/>
        </w:rPr>
        <w:t>浸提液体积按5</w:t>
      </w:r>
      <w:r>
        <w:rPr>
          <w:rFonts w:hint="eastAsia" w:ascii="Times New Roman"/>
        </w:rPr>
        <w:t xml:space="preserve"> </w:t>
      </w:r>
      <w:r>
        <w:rPr>
          <w:rFonts w:ascii="Times New Roman"/>
        </w:rPr>
        <w:t>mL计算。</w:t>
      </w:r>
      <w:r>
        <w:rPr>
          <w:rFonts w:hint="eastAsia" w:ascii="Times New Roman"/>
        </w:rPr>
        <w:t>按同一操作方法作空白实验。</w:t>
      </w:r>
    </w:p>
    <w:bookmarkEnd w:id="56"/>
    <w:p w14:paraId="14D68F5C">
      <w:pPr>
        <w:pStyle w:val="38"/>
        <w:spacing w:before="156" w:after="156"/>
      </w:pPr>
      <w:r>
        <w:rPr>
          <w:rFonts w:hint="eastAsia"/>
        </w:rPr>
        <w:t>仪器参考条件</w:t>
      </w:r>
    </w:p>
    <w:p w14:paraId="06468315">
      <w:pPr>
        <w:pStyle w:val="39"/>
        <w:spacing w:before="156" w:after="156"/>
      </w:pPr>
      <w:r>
        <w:rPr>
          <w:rFonts w:hint="eastAsia"/>
        </w:rPr>
        <w:t>液相色谱参考条件</w:t>
      </w:r>
    </w:p>
    <w:p w14:paraId="5A1F7B1E">
      <w:pPr>
        <w:pStyle w:val="36"/>
        <w:ind w:firstLine="420"/>
        <w:rPr>
          <w:rFonts w:ascii="Times New Roman"/>
        </w:rPr>
      </w:pPr>
      <w:r>
        <w:rPr>
          <w:rFonts w:ascii="Times New Roman"/>
        </w:rPr>
        <w:t>液相色谱参考条件如下：</w:t>
      </w:r>
    </w:p>
    <w:p w14:paraId="04C31A79">
      <w:pPr>
        <w:pStyle w:val="175"/>
        <w:rPr>
          <w:rFonts w:ascii="Times New Roman"/>
        </w:rPr>
      </w:pPr>
      <w:r>
        <w:rPr>
          <w:rFonts w:ascii="Times New Roman"/>
        </w:rPr>
        <w:t>色谱柱：C</w:t>
      </w:r>
      <w:r>
        <w:rPr>
          <w:rFonts w:ascii="Times New Roman"/>
          <w:vertAlign w:val="subscript"/>
        </w:rPr>
        <w:t>18</w:t>
      </w:r>
      <w:r>
        <w:rPr>
          <w:rFonts w:ascii="Times New Roman"/>
        </w:rPr>
        <w:t>分析柱</w:t>
      </w:r>
      <w:r>
        <w:rPr>
          <w:rFonts w:hint="eastAsia" w:ascii="Times New Roman"/>
        </w:rPr>
        <w:t>（</w:t>
      </w:r>
      <w:r>
        <w:rPr>
          <w:rFonts w:ascii="Times New Roman"/>
        </w:rPr>
        <w:t>250 mm×4.6 mm，粒径5 µm），或性能相当者；</w:t>
      </w:r>
      <w:r>
        <w:rPr>
          <w:rFonts w:hint="eastAsia" w:ascii="Times New Roman"/>
        </w:rPr>
        <w:t>C18预柱（4.0mm</w:t>
      </w:r>
      <w:r>
        <w:rPr>
          <w:rFonts w:ascii="Times New Roman"/>
        </w:rPr>
        <w:t>×</w:t>
      </w:r>
      <w:r>
        <w:rPr>
          <w:rFonts w:hint="eastAsia" w:ascii="Times New Roman"/>
        </w:rPr>
        <w:t>20mm</w:t>
      </w:r>
      <w:r>
        <w:rPr>
          <w:rFonts w:ascii="Times New Roman"/>
        </w:rPr>
        <w:t>，粒径5 µm</w:t>
      </w:r>
      <w:r>
        <w:rPr>
          <w:rFonts w:hint="eastAsia" w:ascii="Times New Roman"/>
        </w:rPr>
        <w:t>），或性能相当者；</w:t>
      </w:r>
    </w:p>
    <w:p w14:paraId="4BDB4F00">
      <w:pPr>
        <w:pStyle w:val="175"/>
        <w:rPr>
          <w:rFonts w:ascii="Times New Roman"/>
        </w:rPr>
      </w:pPr>
      <w:r>
        <w:rPr>
          <w:rFonts w:hint="eastAsia" w:ascii="Times New Roman"/>
        </w:rPr>
        <w:t>等度洗脱流动相：</w:t>
      </w:r>
      <w:r>
        <w:rPr>
          <w:rFonts w:ascii="Times New Roman"/>
          <w:kern w:val="2"/>
          <w:szCs w:val="21"/>
        </w:rPr>
        <w:t>2</w:t>
      </w:r>
      <w:r>
        <w:rPr>
          <w:rFonts w:hint="eastAsia" w:ascii="Times New Roman"/>
          <w:kern w:val="2"/>
          <w:szCs w:val="21"/>
        </w:rPr>
        <w:t xml:space="preserve"> </w:t>
      </w:r>
      <w:r>
        <w:rPr>
          <w:rFonts w:ascii="Times New Roman"/>
          <w:kern w:val="2"/>
          <w:szCs w:val="21"/>
        </w:rPr>
        <w:t>%甲醇+30 mmol/L磷酸氢二铵+0.5 mmol/L四丁基溴化铵溶液(pH=6.0)</w:t>
      </w:r>
      <w:r>
        <w:rPr>
          <w:rFonts w:hint="eastAsia" w:ascii="Times New Roman"/>
          <w:kern w:val="2"/>
          <w:szCs w:val="21"/>
        </w:rPr>
        <w:t>，</w:t>
      </w:r>
      <w:r>
        <w:rPr>
          <w:rFonts w:hint="eastAsia" w:ascii="Times New Roman"/>
        </w:rPr>
        <w:t>流动相流速1.0 mL/min；</w:t>
      </w:r>
    </w:p>
    <w:p w14:paraId="377291EF">
      <w:pPr>
        <w:pStyle w:val="175"/>
        <w:rPr>
          <w:rFonts w:ascii="Times New Roman"/>
        </w:rPr>
      </w:pPr>
      <w:r>
        <w:rPr>
          <w:rFonts w:ascii="Times New Roman"/>
        </w:rPr>
        <w:t>进样量：10</w:t>
      </w:r>
      <w:r>
        <w:rPr>
          <w:rFonts w:hint="eastAsia" w:ascii="Times New Roman"/>
        </w:rPr>
        <w:t xml:space="preserve">0 </w:t>
      </w:r>
      <w:r>
        <w:rPr>
          <w:rFonts w:ascii="Times New Roman"/>
        </w:rPr>
        <w:t>μL；</w:t>
      </w:r>
    </w:p>
    <w:p w14:paraId="41555CFC">
      <w:pPr>
        <w:pStyle w:val="175"/>
        <w:rPr>
          <w:rFonts w:ascii="Times New Roman"/>
        </w:rPr>
      </w:pPr>
      <w:r>
        <w:rPr>
          <w:rFonts w:ascii="Times New Roman"/>
        </w:rPr>
        <w:t>柱温：</w:t>
      </w:r>
      <w:r>
        <w:rPr>
          <w:rFonts w:hint="eastAsia" w:ascii="Times New Roman"/>
        </w:rPr>
        <w:t>20</w:t>
      </w:r>
      <w:r>
        <w:rPr>
          <w:rFonts w:ascii="Times New Roman"/>
        </w:rPr>
        <w:t xml:space="preserve"> ℃。</w:t>
      </w:r>
    </w:p>
    <w:p w14:paraId="02DCFD40">
      <w:pPr>
        <w:pStyle w:val="39"/>
        <w:spacing w:before="156" w:after="156"/>
      </w:pPr>
      <w:r>
        <w:rPr>
          <w:rFonts w:hint="eastAsia"/>
        </w:rPr>
        <w:t>原子荧光检测参考条件</w:t>
      </w:r>
    </w:p>
    <w:p w14:paraId="72EC4196">
      <w:pPr>
        <w:pStyle w:val="36"/>
        <w:ind w:firstLine="420"/>
      </w:pPr>
      <w:r>
        <w:rPr>
          <w:rFonts w:hint="eastAsia"/>
        </w:rPr>
        <w:t>原子荧光检测参条件如下：</w:t>
      </w:r>
    </w:p>
    <w:p w14:paraId="6C9D0051">
      <w:pPr>
        <w:pStyle w:val="175"/>
        <w:numPr>
          <w:ilvl w:val="0"/>
          <w:numId w:val="32"/>
        </w:numPr>
        <w:rPr>
          <w:rFonts w:ascii="Times New Roman"/>
        </w:rPr>
      </w:pPr>
      <w:r>
        <w:rPr>
          <w:rFonts w:ascii="Times New Roman"/>
        </w:rPr>
        <w:t>负高压：300 V；</w:t>
      </w:r>
    </w:p>
    <w:p w14:paraId="5E2218B0">
      <w:pPr>
        <w:pStyle w:val="175"/>
        <w:numPr>
          <w:ilvl w:val="0"/>
          <w:numId w:val="32"/>
        </w:numPr>
        <w:rPr>
          <w:rFonts w:ascii="Times New Roman"/>
        </w:rPr>
      </w:pPr>
      <w:r>
        <w:rPr>
          <w:rFonts w:ascii="Times New Roman"/>
        </w:rPr>
        <w:t>硒灯电流：主电流100 mA、辅助电流50 mA；</w:t>
      </w:r>
    </w:p>
    <w:p w14:paraId="5D19FC1D">
      <w:pPr>
        <w:pStyle w:val="175"/>
        <w:numPr>
          <w:ilvl w:val="0"/>
          <w:numId w:val="32"/>
        </w:numPr>
        <w:rPr>
          <w:rFonts w:ascii="Times New Roman"/>
        </w:rPr>
      </w:pPr>
      <w:r>
        <w:rPr>
          <w:rFonts w:ascii="Times New Roman"/>
        </w:rPr>
        <w:t>原子化方式：火焰原子化；</w:t>
      </w:r>
    </w:p>
    <w:p w14:paraId="48E9DF1E">
      <w:pPr>
        <w:pStyle w:val="175"/>
        <w:numPr>
          <w:ilvl w:val="0"/>
          <w:numId w:val="32"/>
        </w:numPr>
        <w:rPr>
          <w:rFonts w:ascii="Times New Roman"/>
        </w:rPr>
      </w:pPr>
      <w:r>
        <w:rPr>
          <w:rFonts w:ascii="Times New Roman"/>
        </w:rPr>
        <w:t>载液：10%盐酸溶液；</w:t>
      </w:r>
    </w:p>
    <w:p w14:paraId="4F216208">
      <w:pPr>
        <w:pStyle w:val="175"/>
        <w:numPr>
          <w:ilvl w:val="0"/>
          <w:numId w:val="32"/>
        </w:numPr>
        <w:rPr>
          <w:rFonts w:ascii="Times New Roman"/>
        </w:rPr>
      </w:pPr>
      <w:r>
        <w:rPr>
          <w:rFonts w:ascii="Times New Roman"/>
        </w:rPr>
        <w:t>还原剂：</w:t>
      </w:r>
      <w:r>
        <w:rPr>
          <w:rFonts w:ascii="Times New Roman"/>
          <w:kern w:val="2"/>
          <w:szCs w:val="21"/>
        </w:rPr>
        <w:t>0.5 %氢氧化钾溶液+2 %硼氢化钾+1 %碘化钾</w:t>
      </w:r>
      <w:r>
        <w:rPr>
          <w:rFonts w:ascii="Times New Roman"/>
        </w:rPr>
        <w:t>；</w:t>
      </w:r>
    </w:p>
    <w:p w14:paraId="4EBAA878">
      <w:pPr>
        <w:pStyle w:val="175"/>
        <w:numPr>
          <w:ilvl w:val="0"/>
          <w:numId w:val="32"/>
        </w:numPr>
        <w:rPr>
          <w:rFonts w:ascii="Times New Roman"/>
        </w:rPr>
      </w:pPr>
      <w:r>
        <w:rPr>
          <w:rFonts w:ascii="Times New Roman"/>
        </w:rPr>
        <w:t>氧化剂：水；</w:t>
      </w:r>
    </w:p>
    <w:p w14:paraId="69DDDC15">
      <w:pPr>
        <w:pStyle w:val="175"/>
        <w:numPr>
          <w:ilvl w:val="0"/>
          <w:numId w:val="32"/>
        </w:numPr>
        <w:rPr>
          <w:rFonts w:ascii="Times New Roman"/>
        </w:rPr>
      </w:pPr>
      <w:r>
        <w:rPr>
          <w:rFonts w:ascii="Times New Roman"/>
        </w:rPr>
        <w:t>炉高：8 mm；</w:t>
      </w:r>
    </w:p>
    <w:p w14:paraId="7F50FF52">
      <w:pPr>
        <w:pStyle w:val="175"/>
        <w:numPr>
          <w:ilvl w:val="0"/>
          <w:numId w:val="32"/>
        </w:numPr>
        <w:rPr>
          <w:rFonts w:ascii="Times New Roman"/>
        </w:rPr>
      </w:pPr>
      <w:r>
        <w:rPr>
          <w:rFonts w:ascii="Times New Roman"/>
        </w:rPr>
        <w:t>载气流速：</w:t>
      </w:r>
      <w:r>
        <w:rPr>
          <w:rFonts w:hint="eastAsia" w:ascii="Times New Roman"/>
        </w:rPr>
        <w:t>5</w:t>
      </w:r>
      <w:r>
        <w:rPr>
          <w:rFonts w:ascii="Times New Roman"/>
        </w:rPr>
        <w:t>00 mL/min；</w:t>
      </w:r>
    </w:p>
    <w:p w14:paraId="615FE9FE">
      <w:pPr>
        <w:pStyle w:val="175"/>
        <w:numPr>
          <w:ilvl w:val="0"/>
          <w:numId w:val="32"/>
        </w:numPr>
        <w:rPr>
          <w:rFonts w:ascii="Times New Roman"/>
        </w:rPr>
      </w:pPr>
      <w:r>
        <w:rPr>
          <w:rFonts w:ascii="Times New Roman"/>
        </w:rPr>
        <w:t>屏蔽气流速：800 mL/min；</w:t>
      </w:r>
    </w:p>
    <w:p w14:paraId="37A0A332">
      <w:pPr>
        <w:pStyle w:val="38"/>
        <w:spacing w:before="156" w:after="156"/>
      </w:pPr>
      <w:r>
        <w:rPr>
          <w:rFonts w:hint="eastAsia"/>
        </w:rPr>
        <w:t>标准曲线制作</w:t>
      </w:r>
    </w:p>
    <w:p w14:paraId="28A17A8D">
      <w:pPr>
        <w:pStyle w:val="36"/>
        <w:ind w:firstLine="420"/>
        <w:rPr>
          <w:rFonts w:ascii="Times New Roman"/>
          <w:color w:val="auto"/>
        </w:rPr>
      </w:pPr>
      <w:r>
        <w:rPr>
          <w:rFonts w:ascii="Times New Roman"/>
          <w:color w:val="auto"/>
        </w:rPr>
        <w:t>取7支</w:t>
      </w:r>
      <w:r>
        <w:rPr>
          <w:rFonts w:hint="eastAsia" w:ascii="Times New Roman"/>
          <w:color w:val="auto"/>
          <w:lang w:val="en-US" w:eastAsia="zh-CN"/>
        </w:rPr>
        <w:t>10 mL容量瓶，分别准确加入</w:t>
      </w:r>
      <w:r>
        <w:rPr>
          <w:rFonts w:ascii="Times New Roman"/>
          <w:color w:val="auto"/>
        </w:rPr>
        <w:t>1 μg/mL混合标准使用液0.00</w:t>
      </w:r>
      <w:r>
        <w:rPr>
          <w:rFonts w:hint="eastAsia" w:ascii="Times New Roman"/>
          <w:color w:val="auto"/>
        </w:rPr>
        <w:t xml:space="preserve"> </w:t>
      </w:r>
      <w:r>
        <w:rPr>
          <w:rFonts w:ascii="Times New Roman"/>
          <w:color w:val="auto"/>
        </w:rPr>
        <w:t>mL、</w:t>
      </w:r>
      <w:r>
        <w:rPr>
          <w:rFonts w:hint="eastAsia" w:ascii="Times New Roman"/>
          <w:color w:val="auto"/>
        </w:rPr>
        <w:t>0.03mL、</w:t>
      </w:r>
      <w:r>
        <w:rPr>
          <w:rFonts w:ascii="Times New Roman"/>
          <w:color w:val="auto"/>
        </w:rPr>
        <w:t>0.050</w:t>
      </w:r>
      <w:r>
        <w:rPr>
          <w:rFonts w:hint="eastAsia" w:ascii="Times New Roman"/>
          <w:color w:val="auto"/>
        </w:rPr>
        <w:t xml:space="preserve"> </w:t>
      </w:r>
      <w:r>
        <w:rPr>
          <w:rFonts w:ascii="Times New Roman"/>
          <w:color w:val="auto"/>
        </w:rPr>
        <w:t>mL</w:t>
      </w:r>
      <w:r>
        <w:rPr>
          <w:rFonts w:hint="eastAsia" w:ascii="Times New Roman"/>
          <w:color w:val="auto"/>
        </w:rPr>
        <w:t>、</w:t>
      </w:r>
      <w:r>
        <w:rPr>
          <w:rFonts w:ascii="Times New Roman"/>
          <w:color w:val="auto"/>
        </w:rPr>
        <w:t>0.10</w:t>
      </w:r>
      <w:r>
        <w:rPr>
          <w:rFonts w:hint="eastAsia" w:ascii="Times New Roman"/>
          <w:color w:val="auto"/>
        </w:rPr>
        <w:t xml:space="preserve"> </w:t>
      </w:r>
      <w:r>
        <w:rPr>
          <w:rFonts w:ascii="Times New Roman"/>
          <w:color w:val="auto"/>
        </w:rPr>
        <w:t>m</w:t>
      </w:r>
      <w:r>
        <w:rPr>
          <w:rFonts w:hint="eastAsia" w:ascii="Times New Roman"/>
          <w:color w:val="auto"/>
        </w:rPr>
        <w:t>L、</w:t>
      </w:r>
      <w:r>
        <w:rPr>
          <w:rFonts w:ascii="Times New Roman"/>
          <w:color w:val="auto"/>
        </w:rPr>
        <w:t>0.20</w:t>
      </w:r>
      <w:r>
        <w:rPr>
          <w:rFonts w:hint="eastAsia" w:ascii="Times New Roman"/>
          <w:color w:val="auto"/>
        </w:rPr>
        <w:t xml:space="preserve"> </w:t>
      </w:r>
      <w:r>
        <w:rPr>
          <w:rFonts w:ascii="Times New Roman"/>
          <w:color w:val="auto"/>
        </w:rPr>
        <w:t>m</w:t>
      </w:r>
      <w:r>
        <w:rPr>
          <w:rFonts w:hint="eastAsia" w:ascii="Times New Roman"/>
          <w:color w:val="auto"/>
        </w:rPr>
        <w:t>L、</w:t>
      </w:r>
      <w:r>
        <w:rPr>
          <w:rFonts w:ascii="Times New Roman"/>
          <w:color w:val="auto"/>
        </w:rPr>
        <w:t>0.40</w:t>
      </w:r>
      <w:r>
        <w:rPr>
          <w:rFonts w:hint="eastAsia" w:ascii="Times New Roman"/>
          <w:color w:val="auto"/>
        </w:rPr>
        <w:t xml:space="preserve"> </w:t>
      </w:r>
      <w:r>
        <w:rPr>
          <w:rFonts w:ascii="Times New Roman"/>
          <w:color w:val="auto"/>
        </w:rPr>
        <w:t>mL</w:t>
      </w:r>
      <w:r>
        <w:rPr>
          <w:rFonts w:hint="eastAsia" w:ascii="Times New Roman"/>
          <w:color w:val="auto"/>
        </w:rPr>
        <w:t>、</w:t>
      </w:r>
      <w:r>
        <w:rPr>
          <w:rFonts w:ascii="Times New Roman"/>
          <w:color w:val="auto"/>
        </w:rPr>
        <w:t>0.60</w:t>
      </w:r>
      <w:r>
        <w:rPr>
          <w:rFonts w:hint="eastAsia" w:ascii="Times New Roman"/>
          <w:color w:val="auto"/>
        </w:rPr>
        <w:t xml:space="preserve"> </w:t>
      </w:r>
      <w:r>
        <w:rPr>
          <w:rFonts w:ascii="Times New Roman"/>
          <w:color w:val="auto"/>
        </w:rPr>
        <w:t>mL</w:t>
      </w:r>
      <w:r>
        <w:rPr>
          <w:rFonts w:hint="eastAsia" w:ascii="Times New Roman"/>
          <w:color w:val="auto"/>
        </w:rPr>
        <w:t>、</w:t>
      </w:r>
      <w:r>
        <w:rPr>
          <w:rFonts w:ascii="Times New Roman"/>
          <w:color w:val="auto"/>
        </w:rPr>
        <w:t>0.80</w:t>
      </w:r>
      <w:r>
        <w:rPr>
          <w:rFonts w:hint="eastAsia" w:ascii="Times New Roman"/>
          <w:color w:val="auto"/>
        </w:rPr>
        <w:t xml:space="preserve"> </w:t>
      </w:r>
      <w:r>
        <w:rPr>
          <w:rFonts w:ascii="Times New Roman"/>
          <w:color w:val="auto"/>
        </w:rPr>
        <w:t>mL</w:t>
      </w:r>
      <w:r>
        <w:rPr>
          <w:rFonts w:hint="eastAsia" w:ascii="Times New Roman"/>
          <w:color w:val="auto"/>
        </w:rPr>
        <w:t>、</w:t>
      </w:r>
      <w:r>
        <w:rPr>
          <w:rFonts w:ascii="Times New Roman"/>
          <w:color w:val="auto"/>
        </w:rPr>
        <w:t>1.0</w:t>
      </w:r>
      <w:r>
        <w:rPr>
          <w:rFonts w:hint="eastAsia" w:ascii="Times New Roman"/>
          <w:color w:val="auto"/>
        </w:rPr>
        <w:t xml:space="preserve"> </w:t>
      </w:r>
      <w:r>
        <w:rPr>
          <w:rFonts w:ascii="Times New Roman"/>
          <w:color w:val="auto"/>
        </w:rPr>
        <w:t>mL</w:t>
      </w:r>
      <w:r>
        <w:rPr>
          <w:rFonts w:hint="eastAsia" w:ascii="Times New Roman"/>
          <w:color w:val="auto"/>
        </w:rPr>
        <w:t>，</w:t>
      </w:r>
      <w:r>
        <w:rPr>
          <w:rFonts w:ascii="Times New Roman"/>
          <w:color w:val="auto"/>
        </w:rPr>
        <w:t>加水稀释至刻度，</w:t>
      </w:r>
      <w:r>
        <w:rPr>
          <w:rFonts w:hint="eastAsia" w:ascii="Times New Roman" w:cs="Times New Roman"/>
          <w:color w:val="auto"/>
          <w:lang w:val="en-US" w:eastAsia="zh-CN"/>
        </w:rPr>
        <w:t>配制成</w:t>
      </w:r>
      <w:r>
        <w:rPr>
          <w:rFonts w:ascii="Times New Roman"/>
          <w:color w:val="auto"/>
        </w:rPr>
        <w:t>浓度分别为0.0</w:t>
      </w:r>
      <w:r>
        <w:rPr>
          <w:rFonts w:hint="eastAsia" w:ascii="Times New Roman"/>
          <w:color w:val="auto"/>
        </w:rPr>
        <w:t xml:space="preserve"> </w:t>
      </w:r>
      <w:r>
        <w:rPr>
          <w:rFonts w:ascii="Times New Roman"/>
          <w:color w:val="auto"/>
        </w:rPr>
        <w:t>ng/mL</w:t>
      </w:r>
      <w:r>
        <w:rPr>
          <w:rFonts w:hint="eastAsia" w:ascii="Times New Roman"/>
          <w:color w:val="auto"/>
        </w:rPr>
        <w:t>、3.0</w:t>
      </w:r>
      <w:r>
        <w:rPr>
          <w:rFonts w:hint="eastAsia" w:ascii="Times New Roman"/>
          <w:color w:val="auto"/>
          <w:lang w:val="en-US" w:eastAsia="zh-CN"/>
        </w:rPr>
        <w:t xml:space="preserve"> </w:t>
      </w:r>
      <w:r>
        <w:rPr>
          <w:rFonts w:hint="eastAsia" w:ascii="Times New Roman"/>
          <w:color w:val="auto"/>
        </w:rPr>
        <w:t xml:space="preserve">ng/mL、5.0 </w:t>
      </w:r>
      <w:r>
        <w:rPr>
          <w:rFonts w:ascii="Times New Roman"/>
          <w:color w:val="auto"/>
        </w:rPr>
        <w:t>ng/mL</w:t>
      </w:r>
      <w:r>
        <w:rPr>
          <w:rFonts w:hint="eastAsia" w:ascii="Times New Roman"/>
          <w:color w:val="auto"/>
        </w:rPr>
        <w:t>、10 ng/mL、20 ng/mL、40 ng/mL、60 ng/mL、80 ng/mL、100 ng/mL</w:t>
      </w:r>
      <w:r>
        <w:rPr>
          <w:rFonts w:hint="eastAsia" w:ascii="Times New Roman" w:cs="Times New Roman"/>
          <w:color w:val="auto"/>
          <w:lang w:val="en-US" w:eastAsia="zh-CN"/>
        </w:rPr>
        <w:t>的</w:t>
      </w:r>
      <w:r>
        <w:rPr>
          <w:rFonts w:hint="default" w:ascii="Times New Roman" w:hAnsi="Times New Roman" w:cs="Times New Roman"/>
          <w:color w:val="auto"/>
          <w:lang w:val="en-US" w:eastAsia="zh-CN"/>
        </w:rPr>
        <w:t>标准</w:t>
      </w:r>
      <w:r>
        <w:rPr>
          <w:rFonts w:hint="eastAsia" w:ascii="Times New Roman" w:cs="Times New Roman"/>
          <w:color w:val="auto"/>
          <w:lang w:val="en-US" w:eastAsia="zh-CN"/>
        </w:rPr>
        <w:t>系列</w:t>
      </w:r>
      <w:r>
        <w:rPr>
          <w:rFonts w:hint="default" w:ascii="Times New Roman" w:hAnsi="Times New Roman" w:cs="Times New Roman"/>
          <w:color w:val="auto"/>
          <w:lang w:val="en-US" w:eastAsia="zh-CN"/>
        </w:rPr>
        <w:t>溶液</w:t>
      </w:r>
      <w:r>
        <w:rPr>
          <w:rFonts w:ascii="Times New Roman"/>
          <w:color w:val="auto"/>
        </w:rPr>
        <w:t>。</w:t>
      </w:r>
    </w:p>
    <w:p w14:paraId="55E72E57">
      <w:pPr>
        <w:pStyle w:val="36"/>
        <w:ind w:firstLine="420"/>
        <w:rPr>
          <w:color w:val="auto"/>
        </w:rPr>
      </w:pPr>
      <w:r>
        <w:rPr>
          <w:rFonts w:hint="eastAsia" w:ascii="Times New Roman"/>
          <w:color w:val="auto"/>
        </w:rPr>
        <w:t xml:space="preserve">吸取标准系列溶液100 </w:t>
      </w:r>
      <w:r>
        <w:rPr>
          <w:rFonts w:ascii="Times New Roman"/>
          <w:color w:val="auto"/>
        </w:rPr>
        <w:t>μL</w:t>
      </w:r>
      <w:r>
        <w:rPr>
          <w:rFonts w:hint="eastAsia" w:ascii="Times New Roman"/>
          <w:color w:val="auto"/>
        </w:rPr>
        <w:t>注入液相色谱—原子荧光联用仪进行分析，得到色谱图，以保留时间定性。以标准溶液系列溶液中目标化合物的浓度为横坐标，色谱峰面积为纵坐标，绘制标准曲线。标准溶液色谱图见附录</w:t>
      </w:r>
      <w:r>
        <w:rPr>
          <w:rFonts w:hint="eastAsia" w:ascii="Times New Roman"/>
          <w:color w:val="auto"/>
          <w:lang w:val="en-US" w:eastAsia="zh-CN"/>
        </w:rPr>
        <w:t>A</w:t>
      </w:r>
      <w:r>
        <w:rPr>
          <w:rFonts w:hint="eastAsia" w:ascii="Times New Roman"/>
          <w:color w:val="auto"/>
        </w:rPr>
        <w:t>中的图A</w:t>
      </w:r>
      <w:r>
        <w:rPr>
          <w:rFonts w:hint="eastAsia" w:ascii="Times New Roman"/>
          <w:color w:val="auto"/>
          <w:lang w:val="en-US" w:eastAsia="zh-CN"/>
        </w:rPr>
        <w:t>.1</w:t>
      </w:r>
      <w:r>
        <w:rPr>
          <w:rFonts w:hint="eastAsia" w:ascii="Times New Roman"/>
          <w:color w:val="auto"/>
        </w:rPr>
        <w:t>。</w:t>
      </w:r>
    </w:p>
    <w:p w14:paraId="20E9A583">
      <w:pPr>
        <w:pStyle w:val="38"/>
        <w:spacing w:before="156" w:after="156"/>
      </w:pPr>
      <w:r>
        <w:rPr>
          <w:rFonts w:hint="eastAsia"/>
        </w:rPr>
        <w:t>试样溶液的测定</w:t>
      </w:r>
    </w:p>
    <w:p w14:paraId="3E7F4744">
      <w:pPr>
        <w:pStyle w:val="36"/>
        <w:ind w:firstLine="420"/>
        <w:rPr>
          <w:rFonts w:ascii="Times New Roman"/>
        </w:rPr>
      </w:pPr>
      <w:r>
        <w:rPr>
          <w:rFonts w:ascii="Times New Roman"/>
        </w:rPr>
        <w:t>吸取试样溶液100</w:t>
      </w:r>
      <w:r>
        <w:rPr>
          <w:rFonts w:hint="eastAsia" w:ascii="Times New Roman"/>
        </w:rPr>
        <w:t xml:space="preserve"> </w:t>
      </w:r>
      <w:r>
        <w:rPr>
          <w:rFonts w:ascii="Times New Roman"/>
        </w:rPr>
        <w:t>μL</w:t>
      </w:r>
      <w:r>
        <w:rPr>
          <w:rFonts w:hint="eastAsia" w:ascii="Times New Roman"/>
        </w:rPr>
        <w:t>注入液相色谱-原子荧光光谱联用仪中，得到色谱图，以保留时间定性，根据标准曲线得到试样溶液中 Se（IV）与 Se（VI）含量，平行测定次数不少于2次</w:t>
      </w:r>
      <w:r>
        <w:rPr>
          <w:rFonts w:ascii="Times New Roman"/>
        </w:rPr>
        <w:t>。</w:t>
      </w:r>
    </w:p>
    <w:p w14:paraId="33DDC9C8">
      <w:pPr>
        <w:pStyle w:val="35"/>
        <w:spacing w:before="312" w:after="312"/>
      </w:pPr>
      <w:bookmarkStart w:id="57" w:name="_Toc187764112"/>
      <w:r>
        <w:rPr>
          <w:rFonts w:hint="eastAsia"/>
        </w:rPr>
        <w:t>结果计算和表述</w:t>
      </w:r>
      <w:bookmarkEnd w:id="57"/>
    </w:p>
    <w:p w14:paraId="5E92BB78">
      <w:pPr>
        <w:pStyle w:val="36"/>
        <w:ind w:firstLine="420"/>
      </w:pPr>
      <w:r>
        <w:rPr>
          <w:rFonts w:hint="eastAsia"/>
        </w:rPr>
        <w:t>按式（1）计算试样中无机硒的含量；</w:t>
      </w:r>
    </w:p>
    <w:p w14:paraId="3E2EE52D">
      <w:pPr>
        <w:pStyle w:val="36"/>
        <w:ind w:firstLine="420"/>
      </w:pPr>
    </w:p>
    <w:p w14:paraId="281ACF7C">
      <w:pPr>
        <w:pStyle w:val="115"/>
        <w:rPr>
          <w:rFonts w:hint="eastAsia"/>
        </w:rPr>
      </w:pPr>
      <w:r>
        <w:rPr>
          <w:rFonts w:hint="eastAsia"/>
        </w:rPr>
        <w:tab/>
      </w:r>
      <m:oMath>
        <m:r>
          <m:rPr/>
          <w:rPr>
            <w:rFonts w:ascii="Cambria Math" w:hAnsi="Cambria Math"/>
            <w:sz w:val="28"/>
            <w:szCs w:val="28"/>
          </w:rPr>
          <m:t>X=</m:t>
        </m:r>
        <m:f>
          <m:fPr>
            <m:ctrlPr>
              <w:rPr>
                <w:rFonts w:ascii="Cambria Math" w:hAnsi="Cambria Math"/>
                <w:i/>
                <w:sz w:val="28"/>
                <w:szCs w:val="28"/>
              </w:rPr>
            </m:ctrlPr>
          </m:fPr>
          <m:num>
            <m:r>
              <m:rPr/>
              <w:rPr>
                <w:rFonts w:ascii="Cambria Math" w:hAnsi="Cambria Math"/>
                <w:sz w:val="28"/>
                <w:szCs w:val="28"/>
              </w:rPr>
              <m:t>(C−</m:t>
            </m:r>
            <m:sSub>
              <m:sSubPr>
                <m:ctrlPr>
                  <w:rPr>
                    <w:rFonts w:ascii="Cambria Math" w:hAnsi="Cambria Math"/>
                    <w:i/>
                    <w:sz w:val="28"/>
                    <w:szCs w:val="28"/>
                  </w:rPr>
                </m:ctrlPr>
              </m:sSubPr>
              <m:e>
                <m:r>
                  <m:rPr/>
                  <w:rPr>
                    <w:rFonts w:ascii="Cambria Math" w:hAnsi="Cambria Math"/>
                    <w:sz w:val="28"/>
                    <w:szCs w:val="28"/>
                  </w:rPr>
                  <m:t>C</m:t>
                </m:r>
                <m:ctrlPr>
                  <w:rPr>
                    <w:rFonts w:ascii="Cambria Math" w:hAnsi="Cambria Math"/>
                    <w:i/>
                    <w:sz w:val="28"/>
                    <w:szCs w:val="28"/>
                  </w:rPr>
                </m:ctrlPr>
              </m:e>
              <m:sub>
                <m:r>
                  <m:rPr/>
                  <w:rPr>
                    <w:rFonts w:ascii="Cambria Math" w:hAnsi="Cambria Math"/>
                    <w:sz w:val="28"/>
                    <w:szCs w:val="28"/>
                  </w:rPr>
                  <m:t>0</m:t>
                </m:r>
                <m:ctrlPr>
                  <w:rPr>
                    <w:rFonts w:ascii="Cambria Math" w:hAnsi="Cambria Math"/>
                    <w:i/>
                    <w:sz w:val="28"/>
                    <w:szCs w:val="28"/>
                  </w:rPr>
                </m:ctrlPr>
              </m:sub>
            </m:sSub>
            <m:r>
              <m:rPr/>
              <w:rPr>
                <w:rFonts w:ascii="Cambria Math" w:hAnsi="Cambria Math"/>
                <w:sz w:val="28"/>
                <w:szCs w:val="28"/>
              </w:rPr>
              <m:t>)×</m:t>
            </m:r>
            <m:sSub>
              <m:sSubPr>
                <m:ctrlPr>
                  <w:rPr>
                    <w:rFonts w:ascii="Cambria Math" w:hAnsi="Cambria Math"/>
                    <w:i/>
                    <w:sz w:val="28"/>
                    <w:szCs w:val="28"/>
                  </w:rPr>
                </m:ctrlPr>
              </m:sSubPr>
              <m:e>
                <m:r>
                  <m:rPr/>
                  <w:rPr>
                    <w:rFonts w:ascii="Cambria Math" w:hAnsi="Cambria Math"/>
                    <w:sz w:val="28"/>
                    <w:szCs w:val="28"/>
                  </w:rPr>
                  <m:t>V</m:t>
                </m:r>
                <m:ctrlPr>
                  <w:rPr>
                    <w:rFonts w:ascii="Cambria Math" w:hAnsi="Cambria Math"/>
                    <w:i/>
                    <w:sz w:val="28"/>
                    <w:szCs w:val="28"/>
                  </w:rPr>
                </m:ctrlPr>
              </m:e>
              <m:sub>
                <m:r>
                  <m:rPr/>
                  <w:rPr>
                    <w:rFonts w:ascii="Cambria Math" w:hAnsi="Cambria Math"/>
                    <w:sz w:val="28"/>
                    <w:szCs w:val="28"/>
                  </w:rPr>
                  <m:t>1</m:t>
                </m:r>
                <m:ctrlPr>
                  <w:rPr>
                    <w:rFonts w:ascii="Cambria Math" w:hAnsi="Cambria Math"/>
                    <w:i/>
                    <w:sz w:val="28"/>
                    <w:szCs w:val="28"/>
                  </w:rPr>
                </m:ctrlPr>
              </m:sub>
            </m:sSub>
            <m:ctrlPr>
              <w:rPr>
                <w:rFonts w:ascii="Cambria Math" w:hAnsi="Cambria Math"/>
                <w:i/>
                <w:sz w:val="28"/>
                <w:szCs w:val="28"/>
              </w:rPr>
            </m:ctrlPr>
          </m:num>
          <m:den>
            <m:sSub>
              <m:sSubPr>
                <m:ctrlPr>
                  <w:rPr>
                    <w:rFonts w:ascii="Cambria Math" w:hAnsi="Cambria Math"/>
                    <w:i/>
                    <w:sz w:val="28"/>
                    <w:szCs w:val="28"/>
                  </w:rPr>
                </m:ctrlPr>
              </m:sSubPr>
              <m:e>
                <m:r>
                  <m:rPr/>
                  <w:rPr>
                    <w:rFonts w:ascii="Cambria Math" w:hAnsi="Cambria Math"/>
                    <w:sz w:val="28"/>
                    <w:szCs w:val="28"/>
                  </w:rPr>
                  <m:t>V</m:t>
                </m:r>
                <m:ctrlPr>
                  <w:rPr>
                    <w:rFonts w:ascii="Cambria Math" w:hAnsi="Cambria Math"/>
                    <w:i/>
                    <w:sz w:val="28"/>
                    <w:szCs w:val="28"/>
                  </w:rPr>
                </m:ctrlPr>
              </m:e>
              <m:sub>
                <m:r>
                  <m:rPr/>
                  <w:rPr>
                    <w:rFonts w:ascii="Cambria Math" w:hAnsi="Cambria Math"/>
                    <w:sz w:val="28"/>
                    <w:szCs w:val="28"/>
                  </w:rPr>
                  <m:t>2</m:t>
                </m:r>
                <m:ctrlPr>
                  <w:rPr>
                    <w:rFonts w:ascii="Cambria Math" w:hAnsi="Cambria Math"/>
                    <w:i/>
                    <w:sz w:val="28"/>
                    <w:szCs w:val="28"/>
                  </w:rPr>
                </m:ctrlPr>
              </m:sub>
            </m:sSub>
            <m:r>
              <m:rPr/>
              <w:rPr>
                <w:rFonts w:ascii="Cambria Math" w:hAnsi="Cambria Math"/>
                <w:sz w:val="28"/>
                <w:szCs w:val="28"/>
              </w:rPr>
              <m:t>×1000</m:t>
            </m:r>
            <m:ctrlPr>
              <w:rPr>
                <w:rFonts w:ascii="Cambria Math" w:hAnsi="Cambria Math"/>
                <w:i/>
                <w:sz w:val="28"/>
                <w:szCs w:val="28"/>
              </w:rPr>
            </m:ctrlPr>
          </m:den>
        </m:f>
      </m:oMath>
      <w:r>
        <w:rPr>
          <w:rFonts w:hint="eastAsia" w:ascii="微软雅黑" w:hAnsi="微软雅黑" w:eastAsia="微软雅黑"/>
        </w:rPr>
        <w:tab/>
      </w:r>
      <w:r>
        <w:t>(</w:t>
      </w:r>
      <w:r>
        <w:fldChar w:fldCharType="begin"/>
      </w:r>
      <w:r>
        <w:instrText xml:space="preserve"> AUTONUM </w:instrText>
      </w:r>
      <w:r>
        <w:fldChar w:fldCharType="end"/>
      </w:r>
      <w:r>
        <w:t>)</w:t>
      </w:r>
    </w:p>
    <w:p w14:paraId="27967D3F">
      <w:pPr>
        <w:pStyle w:val="64"/>
        <w:ind w:firstLine="420"/>
      </w:pPr>
      <w:r>
        <w:rPr>
          <w:rFonts w:hint="eastAsia"/>
        </w:rPr>
        <w:t>式中：</w:t>
      </w:r>
    </w:p>
    <w:p w14:paraId="534FB260">
      <w:pPr>
        <w:pStyle w:val="36"/>
        <w:ind w:firstLine="420"/>
        <w:rPr>
          <w:rFonts w:ascii="Times New Roman"/>
        </w:rPr>
      </w:pPr>
      <w:r>
        <w:rPr>
          <w:rFonts w:ascii="Times New Roman"/>
          <w:i/>
          <w:iCs/>
        </w:rPr>
        <w:t>X</w:t>
      </w:r>
      <w:r>
        <w:rPr>
          <w:rFonts w:ascii="Times New Roman"/>
        </w:rPr>
        <w:t xml:space="preserve">  </w:t>
      </w:r>
      <w:r>
        <w:rPr>
          <w:rFonts w:hint="eastAsia" w:ascii="Times New Roman"/>
        </w:rPr>
        <w:t xml:space="preserve">  </w:t>
      </w:r>
      <w:r>
        <w:rPr>
          <w:rFonts w:ascii="Times New Roman"/>
        </w:rPr>
        <w:t>——试样中无机硒的含量，单位为毫克每升（mg/L）；</w:t>
      </w:r>
    </w:p>
    <w:p w14:paraId="337AFA92">
      <w:pPr>
        <w:pStyle w:val="36"/>
        <w:ind w:firstLine="420"/>
        <w:rPr>
          <w:rFonts w:ascii="Times New Roman"/>
        </w:rPr>
      </w:pPr>
      <w:r>
        <w:rPr>
          <w:rFonts w:ascii="Times New Roman"/>
          <w:i/>
          <w:iCs/>
        </w:rPr>
        <w:t>C</w:t>
      </w:r>
      <w:r>
        <w:rPr>
          <w:rFonts w:ascii="Times New Roman"/>
        </w:rPr>
        <w:t xml:space="preserve">  </w:t>
      </w:r>
      <w:r>
        <w:rPr>
          <w:rFonts w:hint="eastAsia" w:ascii="Times New Roman"/>
        </w:rPr>
        <w:t xml:space="preserve">  </w:t>
      </w:r>
      <w:r>
        <w:rPr>
          <w:rFonts w:ascii="Times New Roman"/>
        </w:rPr>
        <w:t>——从标准工作曲线得到的待测物溶液浓度，单位为微克每升（μg/L）；</w:t>
      </w:r>
    </w:p>
    <w:p w14:paraId="0FEB89E2">
      <w:pPr>
        <w:pStyle w:val="36"/>
        <w:ind w:firstLine="420"/>
        <w:rPr>
          <w:rFonts w:ascii="Times New Roman"/>
        </w:rPr>
      </w:pPr>
      <w:r>
        <w:rPr>
          <w:rFonts w:ascii="Times New Roman"/>
          <w:i/>
          <w:iCs/>
        </w:rPr>
        <w:t>C</w:t>
      </w:r>
      <w:r>
        <w:rPr>
          <w:rFonts w:ascii="Times New Roman"/>
          <w:i/>
          <w:iCs/>
          <w:vertAlign w:val="subscript"/>
        </w:rPr>
        <w:t>0</w:t>
      </w:r>
      <w:r>
        <w:rPr>
          <w:rFonts w:ascii="Times New Roman"/>
          <w:i/>
          <w:iCs/>
        </w:rPr>
        <w:t xml:space="preserve">  </w:t>
      </w:r>
      <w:r>
        <w:rPr>
          <w:rFonts w:hint="eastAsia" w:ascii="Times New Roman"/>
          <w:i/>
          <w:iCs/>
        </w:rPr>
        <w:t xml:space="preserve"> </w:t>
      </w:r>
      <w:r>
        <w:rPr>
          <w:rFonts w:ascii="Times New Roman"/>
        </w:rPr>
        <w:t>——空白溶液中无机硒的质量浓度，单位为（μg/L）；</w:t>
      </w:r>
    </w:p>
    <w:p w14:paraId="5A156A95">
      <w:pPr>
        <w:pStyle w:val="36"/>
        <w:ind w:firstLine="420"/>
        <w:rPr>
          <w:rFonts w:ascii="Times New Roman"/>
        </w:rPr>
      </w:pPr>
      <w:r>
        <w:rPr>
          <w:rFonts w:hint="eastAsia" w:ascii="Times New Roman"/>
          <w:i/>
          <w:iCs/>
        </w:rPr>
        <w:t>V</w:t>
      </w:r>
      <w:r>
        <w:rPr>
          <w:rFonts w:hint="eastAsia" w:ascii="Times New Roman"/>
          <w:i/>
          <w:iCs/>
          <w:vertAlign w:val="subscript"/>
        </w:rPr>
        <w:t>1</w:t>
      </w:r>
      <w:r>
        <w:rPr>
          <w:rFonts w:hint="eastAsia" w:ascii="Times New Roman"/>
          <w:i/>
          <w:iCs/>
        </w:rPr>
        <w:t xml:space="preserve"> </w:t>
      </w:r>
      <w:r>
        <w:rPr>
          <w:rFonts w:ascii="Times New Roman"/>
          <w:i/>
          <w:iCs/>
        </w:rPr>
        <w:t xml:space="preserve"> </w:t>
      </w:r>
      <w:r>
        <w:rPr>
          <w:rFonts w:hint="eastAsia" w:ascii="Times New Roman"/>
          <w:i/>
          <w:iCs/>
        </w:rPr>
        <w:t xml:space="preserve">  </w:t>
      </w:r>
      <w:r>
        <w:rPr>
          <w:rFonts w:ascii="Times New Roman"/>
        </w:rPr>
        <w:t>——</w:t>
      </w:r>
      <w:r>
        <w:rPr>
          <w:rFonts w:hint="eastAsia" w:ascii="Times New Roman"/>
        </w:rPr>
        <w:t>试样提取液体积</w:t>
      </w:r>
      <w:r>
        <w:rPr>
          <w:rFonts w:ascii="Times New Roman"/>
        </w:rPr>
        <w:t>，单位</w:t>
      </w:r>
      <w:r>
        <w:rPr>
          <w:rFonts w:hint="eastAsia" w:ascii="Times New Roman"/>
        </w:rPr>
        <w:t>毫升</w:t>
      </w:r>
      <w:r>
        <w:rPr>
          <w:rFonts w:ascii="Times New Roman"/>
        </w:rPr>
        <w:t>（</w:t>
      </w:r>
      <w:r>
        <w:rPr>
          <w:rFonts w:hint="eastAsia" w:ascii="Times New Roman"/>
        </w:rPr>
        <w:t>mL</w:t>
      </w:r>
      <w:r>
        <w:rPr>
          <w:rFonts w:ascii="Times New Roman"/>
        </w:rPr>
        <w:t>）；</w:t>
      </w:r>
    </w:p>
    <w:p w14:paraId="02A6BAE9">
      <w:pPr>
        <w:pStyle w:val="36"/>
        <w:ind w:firstLine="420"/>
        <w:rPr>
          <w:rFonts w:ascii="Times New Roman"/>
        </w:rPr>
      </w:pPr>
      <w:r>
        <w:rPr>
          <w:rFonts w:ascii="Times New Roman"/>
          <w:i/>
          <w:iCs/>
        </w:rPr>
        <w:t>V</w:t>
      </w:r>
      <w:r>
        <w:rPr>
          <w:rFonts w:hint="eastAsia" w:ascii="Times New Roman"/>
          <w:i/>
          <w:iCs/>
          <w:vertAlign w:val="subscript"/>
        </w:rPr>
        <w:t>2</w:t>
      </w:r>
      <w:r>
        <w:rPr>
          <w:rFonts w:ascii="Times New Roman"/>
        </w:rPr>
        <w:t xml:space="preserve">  </w:t>
      </w:r>
      <w:r>
        <w:rPr>
          <w:rFonts w:hint="eastAsia" w:ascii="Times New Roman"/>
        </w:rPr>
        <w:t xml:space="preserve">  </w:t>
      </w:r>
      <w:r>
        <w:rPr>
          <w:rFonts w:ascii="Times New Roman"/>
        </w:rPr>
        <w:t>——试样</w:t>
      </w:r>
      <w:r>
        <w:rPr>
          <w:rFonts w:hint="eastAsia" w:ascii="Times New Roman"/>
        </w:rPr>
        <w:t>移取</w:t>
      </w:r>
      <w:r>
        <w:rPr>
          <w:rFonts w:ascii="Times New Roman"/>
        </w:rPr>
        <w:t>液体积，单位毫升（mL）；</w:t>
      </w:r>
    </w:p>
    <w:p w14:paraId="515D3BE2">
      <w:pPr>
        <w:pStyle w:val="36"/>
        <w:ind w:firstLine="420"/>
        <w:rPr>
          <w:rFonts w:ascii="Times New Roman"/>
        </w:rPr>
      </w:pPr>
      <w:r>
        <w:rPr>
          <w:rFonts w:hint="eastAsia" w:ascii="Times New Roman"/>
        </w:rPr>
        <w:t xml:space="preserve">1000  </w:t>
      </w:r>
      <w:r>
        <w:rPr>
          <w:rFonts w:ascii="Times New Roman"/>
        </w:rPr>
        <w:t>——</w:t>
      </w:r>
      <w:r>
        <w:rPr>
          <w:rFonts w:hint="eastAsia" w:ascii="Times New Roman"/>
        </w:rPr>
        <w:t>换算系数。</w:t>
      </w:r>
    </w:p>
    <w:p w14:paraId="00CF32A3">
      <w:pPr>
        <w:pStyle w:val="36"/>
        <w:ind w:firstLine="420"/>
        <w:rPr>
          <w:rFonts w:ascii="Times New Roman"/>
        </w:rPr>
      </w:pPr>
      <w:r>
        <w:rPr>
          <w:rFonts w:hint="eastAsia" w:ascii="Times New Roman"/>
        </w:rPr>
        <w:t>总无机硒含量等于Se（IV）含量与 Se（VI）含量的加和。</w:t>
      </w:r>
    </w:p>
    <w:p w14:paraId="27D6400D">
      <w:pPr>
        <w:pStyle w:val="36"/>
        <w:ind w:firstLine="420"/>
        <w:rPr>
          <w:rFonts w:ascii="Times New Roman"/>
        </w:rPr>
      </w:pPr>
      <w:r>
        <w:rPr>
          <w:rFonts w:hint="eastAsia" w:ascii="Times New Roman"/>
        </w:rPr>
        <w:t>当无机硒含量≥1.00 mg/L时，计算结果保留三位有效数字，当无机硒含量&lt;1.00 mg/L时，计算结果保留两位有效数字。</w:t>
      </w:r>
    </w:p>
    <w:p w14:paraId="61640C56">
      <w:pPr>
        <w:pStyle w:val="35"/>
        <w:spacing w:before="312" w:after="312"/>
      </w:pPr>
      <w:bookmarkStart w:id="58" w:name="_Toc187764113"/>
      <w:r>
        <w:rPr>
          <w:rFonts w:hint="eastAsia"/>
        </w:rPr>
        <w:t>检测方法的灵敏度、准确度和精密度</w:t>
      </w:r>
      <w:bookmarkEnd w:id="58"/>
    </w:p>
    <w:p w14:paraId="563A2DDF">
      <w:pPr>
        <w:pStyle w:val="38"/>
        <w:spacing w:before="156" w:after="156"/>
      </w:pPr>
      <w:r>
        <w:rPr>
          <w:rFonts w:hint="eastAsia"/>
        </w:rPr>
        <w:t>灵敏度</w:t>
      </w:r>
    </w:p>
    <w:p w14:paraId="10FEB874">
      <w:pPr>
        <w:pStyle w:val="36"/>
        <w:ind w:firstLine="420"/>
        <w:rPr>
          <w:rFonts w:ascii="Times New Roman"/>
        </w:rPr>
      </w:pPr>
      <w:r>
        <w:rPr>
          <w:rFonts w:ascii="Times New Roman"/>
        </w:rPr>
        <w:t>本方法</w:t>
      </w:r>
      <w:r>
        <w:rPr>
          <w:rFonts w:hint="eastAsia" w:ascii="Times New Roman"/>
        </w:rPr>
        <w:t>Se(IV)</w:t>
      </w:r>
      <w:r>
        <w:rPr>
          <w:rFonts w:ascii="Times New Roman"/>
        </w:rPr>
        <w:t>检出限为</w:t>
      </w:r>
      <w:r>
        <w:rPr>
          <w:rFonts w:hint="eastAsia" w:ascii="Times New Roman"/>
        </w:rPr>
        <w:t xml:space="preserve">0.3 </w:t>
      </w:r>
      <w:r>
        <w:rPr>
          <w:rFonts w:ascii="Times New Roman"/>
        </w:rPr>
        <w:t>μg/L</w:t>
      </w:r>
      <w:r>
        <w:rPr>
          <w:rFonts w:hint="eastAsia" w:ascii="Times New Roman"/>
        </w:rPr>
        <w:t>、Se(VI)检</w:t>
      </w:r>
      <w:r>
        <w:rPr>
          <w:rFonts w:ascii="Times New Roman"/>
        </w:rPr>
        <w:t>出限为0.</w:t>
      </w:r>
      <w:r>
        <w:rPr>
          <w:rFonts w:hint="eastAsia" w:ascii="Times New Roman"/>
        </w:rPr>
        <w:t>4</w:t>
      </w:r>
      <w:r>
        <w:rPr>
          <w:rFonts w:ascii="Times New Roman"/>
        </w:rPr>
        <w:t xml:space="preserve"> μg/L</w:t>
      </w:r>
      <w:r>
        <w:rPr>
          <w:rFonts w:hint="eastAsia" w:ascii="Times New Roman"/>
        </w:rPr>
        <w:t>；</w:t>
      </w:r>
      <w:r>
        <w:rPr>
          <w:rFonts w:ascii="Times New Roman"/>
        </w:rPr>
        <w:t>定量限</w:t>
      </w:r>
      <w:r>
        <w:rPr>
          <w:rFonts w:hint="eastAsia" w:ascii="Times New Roman"/>
        </w:rPr>
        <w:t>均</w:t>
      </w:r>
      <w:r>
        <w:rPr>
          <w:rFonts w:ascii="Times New Roman"/>
        </w:rPr>
        <w:t>为1</w:t>
      </w:r>
      <w:r>
        <w:rPr>
          <w:rFonts w:hint="eastAsia" w:ascii="Times New Roman"/>
        </w:rPr>
        <w:t>.0</w:t>
      </w:r>
      <w:r>
        <w:rPr>
          <w:rFonts w:ascii="Times New Roman"/>
        </w:rPr>
        <w:t xml:space="preserve"> μg/L。</w:t>
      </w:r>
    </w:p>
    <w:p w14:paraId="16F6F7F6">
      <w:pPr>
        <w:pStyle w:val="38"/>
        <w:spacing w:before="156" w:after="156"/>
      </w:pPr>
      <w:r>
        <w:rPr>
          <w:rFonts w:hint="eastAsia"/>
        </w:rPr>
        <w:t>准确度</w:t>
      </w:r>
    </w:p>
    <w:p w14:paraId="1B93463A">
      <w:pPr>
        <w:pStyle w:val="36"/>
        <w:ind w:firstLine="420"/>
        <w:rPr>
          <w:rFonts w:hint="default" w:ascii="Times New Roman" w:hAnsi="Times New Roman" w:cs="Times New Roman"/>
        </w:rPr>
      </w:pPr>
      <w:r>
        <w:rPr>
          <w:rFonts w:hint="default" w:ascii="Times New Roman" w:hAnsi="Times New Roman" w:cs="Times New Roman"/>
        </w:rPr>
        <w:t>本方法在3 μg/L～100 μg/L添加浓度水平上的回收率为70%～120%。</w:t>
      </w:r>
    </w:p>
    <w:p w14:paraId="7BF9D8D6">
      <w:pPr>
        <w:pStyle w:val="38"/>
        <w:spacing w:before="156" w:after="156"/>
      </w:pPr>
      <w:r>
        <w:rPr>
          <w:rFonts w:hint="eastAsia"/>
        </w:rPr>
        <w:t>精密度</w:t>
      </w:r>
    </w:p>
    <w:p w14:paraId="3B008BAB">
      <w:pPr>
        <w:pStyle w:val="36"/>
        <w:ind w:firstLine="420"/>
      </w:pPr>
      <w:r>
        <w:rPr>
          <w:rFonts w:hint="eastAsia"/>
        </w:rPr>
        <w:t>在重复性条件下获得的两次独立测定结果的绝对差值不得超过算术平均值的20%。</w:t>
      </w:r>
    </w:p>
    <w:p w14:paraId="1EFAF7C3">
      <w:pPr>
        <w:pStyle w:val="36"/>
        <w:ind w:firstLine="420"/>
        <w:sectPr>
          <w:pgSz w:w="11906" w:h="16838"/>
          <w:pgMar w:top="1928" w:right="1134" w:bottom="1134" w:left="1134" w:header="1418" w:footer="1134" w:gutter="284"/>
          <w:pgNumType w:start="1"/>
          <w:cols w:space="425" w:num="1"/>
          <w:formProt w:val="0"/>
          <w:docGrid w:type="lines" w:linePitch="312" w:charSpace="0"/>
        </w:sectPr>
      </w:pPr>
    </w:p>
    <w:p w14:paraId="1CFFC91C">
      <w:pPr>
        <w:pStyle w:val="199"/>
        <w:rPr>
          <w:rFonts w:hint="eastAsia"/>
          <w:vanish w:val="0"/>
        </w:rPr>
      </w:pPr>
    </w:p>
    <w:p w14:paraId="1BD305C6">
      <w:pPr>
        <w:pStyle w:val="200"/>
        <w:rPr>
          <w:vanish w:val="0"/>
        </w:rPr>
      </w:pPr>
    </w:p>
    <w:p w14:paraId="1BAACA0D">
      <w:pPr>
        <w:pStyle w:val="200"/>
        <w:numPr>
          <w:ilvl w:val="0"/>
          <w:numId w:val="0"/>
        </w:numPr>
        <w:jc w:val="both"/>
        <w:rPr>
          <w:rFonts w:hint="eastAsia"/>
          <w:vanish w:val="0"/>
        </w:rPr>
        <w:sectPr>
          <w:type w:val="continuous"/>
          <w:pgSz w:w="11906" w:h="16838"/>
          <w:pgMar w:top="1928" w:right="1134" w:bottom="1134" w:left="1134" w:header="1418" w:footer="1134" w:gutter="284"/>
          <w:cols w:space="425" w:num="1"/>
          <w:formProt w:val="0"/>
          <w:docGrid w:type="lines" w:linePitch="312" w:charSpace="0"/>
        </w:sectPr>
      </w:pPr>
    </w:p>
    <w:p w14:paraId="053829CF">
      <w:pPr>
        <w:pStyle w:val="36"/>
        <w:ind w:firstLine="0" w:firstLineChars="0"/>
        <w:rPr>
          <w:rFonts w:hint="eastAsia"/>
        </w:rPr>
      </w:pPr>
    </w:p>
    <w:p w14:paraId="2B6577BA">
      <w:pPr>
        <w:pStyle w:val="36"/>
        <w:ind w:firstLine="0" w:firstLineChars="0"/>
        <w:sectPr>
          <w:type w:val="continuous"/>
          <w:pgSz w:w="11906" w:h="16838"/>
          <w:pgMar w:top="1928" w:right="1134" w:bottom="1134" w:left="1134" w:header="1418" w:footer="1134" w:gutter="284"/>
          <w:cols w:space="425" w:num="1"/>
          <w:formProt w:val="0"/>
          <w:docGrid w:type="lines" w:linePitch="312" w:charSpace="0"/>
        </w:sectPr>
      </w:pPr>
    </w:p>
    <w:bookmarkEnd w:id="24"/>
    <w:p w14:paraId="51E80DD2">
      <w:pPr>
        <w:pStyle w:val="199"/>
        <w:rPr>
          <w:rFonts w:hint="eastAsia"/>
          <w:vanish w:val="0"/>
        </w:rPr>
      </w:pPr>
      <w:bookmarkStart w:id="59" w:name="BookMark5"/>
    </w:p>
    <w:p w14:paraId="1424A816">
      <w:pPr>
        <w:pStyle w:val="200"/>
        <w:rPr>
          <w:rFonts w:hint="eastAsia"/>
          <w:vanish w:val="0"/>
        </w:rPr>
      </w:pPr>
    </w:p>
    <w:p w14:paraId="29AFA479">
      <w:pPr>
        <w:pStyle w:val="83"/>
        <w:spacing w:after="156"/>
        <w:rPr>
          <w:rFonts w:hint="eastAsia"/>
        </w:rPr>
      </w:pPr>
      <w:r>
        <w:br w:type="textWrapping"/>
      </w:r>
      <w:r>
        <w:rPr>
          <w:rFonts w:hint="eastAsia"/>
        </w:rPr>
        <w:t>（资料性）</w:t>
      </w:r>
      <w:r>
        <w:br w:type="textWrapping"/>
      </w:r>
      <w:r>
        <w:rPr>
          <w:rFonts w:hint="eastAsia"/>
        </w:rPr>
        <w:t>无机硒形态色谱图</w:t>
      </w:r>
    </w:p>
    <w:p w14:paraId="113FBB96">
      <w:pPr>
        <w:pStyle w:val="36"/>
        <w:spacing w:after="156" w:afterLines="50"/>
        <w:ind w:firstLine="420"/>
        <w:rPr>
          <w:rFonts w:hint="eastAsia" w:eastAsia="宋体"/>
          <w:color w:val="FF0000"/>
          <w:lang w:eastAsia="zh-CN"/>
        </w:rPr>
      </w:pPr>
      <w:r>
        <w:rPr>
          <w:rFonts w:hint="eastAsia"/>
        </w:rPr>
        <w:t>无机硒形态色谱图见图A.1。</w:t>
      </w:r>
    </w:p>
    <w:p w14:paraId="386C71D9">
      <w:pPr>
        <w:pStyle w:val="36"/>
        <w:ind w:firstLine="420"/>
        <w:rPr>
          <w:rFonts w:hint="eastAsia" w:eastAsia="宋体"/>
          <w:lang w:eastAsia="zh-CN"/>
        </w:rPr>
      </w:pPr>
      <w:r>
        <w:rPr>
          <w:rFonts w:hint="eastAsia" w:eastAsia="宋体"/>
          <w:lang w:eastAsia="zh-CN"/>
        </w:rPr>
        <w:drawing>
          <wp:inline distT="0" distB="0" distL="114300" distR="114300">
            <wp:extent cx="5804535" cy="3063240"/>
            <wp:effectExtent l="0" t="0" r="0" b="0"/>
            <wp:docPr id="2" name="图片 2" descr="Se标准数据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Se标准数据图"/>
                    <pic:cNvPicPr>
                      <a:picLocks noChangeAspect="1"/>
                    </pic:cNvPicPr>
                  </pic:nvPicPr>
                  <pic:blipFill>
                    <a:blip r:embed="rId16"/>
                    <a:srcRect r="2131"/>
                    <a:stretch>
                      <a:fillRect/>
                    </a:stretch>
                  </pic:blipFill>
                  <pic:spPr>
                    <a:xfrm>
                      <a:off x="0" y="0"/>
                      <a:ext cx="5804535" cy="3063240"/>
                    </a:xfrm>
                    <a:prstGeom prst="rect">
                      <a:avLst/>
                    </a:prstGeom>
                  </pic:spPr>
                </pic:pic>
              </a:graphicData>
            </a:graphic>
          </wp:inline>
        </w:drawing>
      </w:r>
    </w:p>
    <w:p w14:paraId="584F2BBB">
      <w:pPr>
        <w:pStyle w:val="90"/>
        <w:numPr>
          <w:ilvl w:val="0"/>
          <w:numId w:val="0"/>
        </w:numPr>
        <w:spacing w:before="156" w:after="156"/>
        <w:rPr>
          <w:rFonts w:hint="eastAsia"/>
        </w:rPr>
      </w:pPr>
      <w:r>
        <w:rPr>
          <w:rFonts w:hint="eastAsia"/>
        </w:rPr>
        <w:t>图A.1 无机硒混合标准溶液色谱图（LC-AFS,等度洗脱）</w:t>
      </w:r>
    </w:p>
    <w:p w14:paraId="4601575A">
      <w:pPr>
        <w:pStyle w:val="36"/>
        <w:ind w:firstLine="420"/>
        <w:rPr>
          <w:rFonts w:hint="eastAsia"/>
        </w:rPr>
      </w:pPr>
    </w:p>
    <w:bookmarkEnd w:id="59"/>
    <w:p w14:paraId="4D4092C3">
      <w:pPr>
        <w:pStyle w:val="36"/>
        <w:ind w:firstLine="0" w:firstLineChars="0"/>
        <w:jc w:val="center"/>
        <w:rPr>
          <w:rFonts w:hint="eastAsia"/>
        </w:rPr>
      </w:pPr>
      <w:bookmarkStart w:id="60" w:name="BookMark8"/>
      <w:r>
        <w:rPr>
          <w:rFonts w:hint="eastAsia"/>
        </w:rPr>
        <w:drawing>
          <wp:inline distT="0" distB="0" distL="0" distR="0">
            <wp:extent cx="1485900" cy="317500"/>
            <wp:effectExtent l="0" t="0" r="0" b="6350"/>
            <wp:docPr id="731149369" name="图片 3"/>
            <wp:cNvGraphicFramePr/>
            <a:graphic xmlns:a="http://schemas.openxmlformats.org/drawingml/2006/main">
              <a:graphicData uri="http://schemas.openxmlformats.org/drawingml/2006/picture">
                <pic:pic xmlns:pic="http://schemas.openxmlformats.org/drawingml/2006/picture">
                  <pic:nvPicPr>
                    <pic:cNvPr id="731149369" name="图片 3"/>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0"/>
      <w:bookmarkStart w:id="61" w:name="_GoBack"/>
      <w:bookmarkEnd w:id="61"/>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光行楷_CNKI">
    <w:panose1 w:val="02000500000000000000"/>
    <w:charset w:val="86"/>
    <w:family w:val="auto"/>
    <w:pitch w:val="default"/>
    <w:sig w:usb0="A00002BF" w:usb1="1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华光行草_CNKI">
    <w:panose1 w:val="02000500000000000000"/>
    <w:charset w:val="86"/>
    <w:family w:val="auto"/>
    <w:pitch w:val="default"/>
    <w:sig w:usb0="A00002BF" w:usb1="38CF7CFA" w:usb2="00000016" w:usb3="00000000" w:csb0="0004000F" w:csb1="00000000"/>
  </w:font>
  <w:font w:name="华光细圆_CNKI">
    <w:panose1 w:val="02000500000000000000"/>
    <w:charset w:val="86"/>
    <w:family w:val="auto"/>
    <w:pitch w:val="default"/>
    <w:sig w:usb0="A00002BF" w:usb1="38CF7CFA" w:usb2="00000016" w:usb3="00000000" w:csb0="0004000F" w:csb1="00000000"/>
  </w:font>
  <w:font w:name="华光胖头鱼_CNKI">
    <w:panose1 w:val="02000500000000000000"/>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0C271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7D2EC">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32F3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CD1F67">
    <w:pPr>
      <w:pStyle w:val="61"/>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29EBD7">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5CB2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6F2FE">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1D889B">
    <w:pPr>
      <w:pStyle w:val="69"/>
      <w:rPr>
        <w:rFonts w:hint="eastAsia"/>
      </w:rPr>
    </w:pPr>
    <w:r>
      <w:fldChar w:fldCharType="begin"/>
    </w:r>
    <w:r>
      <w:instrText xml:space="preserve"> STYLEREF  标准文件_文件编号  \* MERGEFORMAT </w:instrText>
    </w:r>
    <w:r>
      <w:fldChar w:fldCharType="separate"/>
    </w:r>
    <w:r>
      <w:t>DB 43/T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0868C">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43/T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72"/>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6"/>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4"/>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2"/>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9"/>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90"/>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00"/>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84"/>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3"/>
      <w:suff w:val="nothing"/>
      <w:lvlText w:val="附录%1"/>
      <w:lvlJc w:val="left"/>
      <w:pPr>
        <w:ind w:left="0" w:firstLine="0"/>
      </w:pPr>
      <w:rPr>
        <w:rFonts w:hint="eastAsia"/>
        <w:spacing w:val="100"/>
      </w:rPr>
    </w:lvl>
    <w:lvl w:ilvl="1" w:tentative="0">
      <w:start w:val="1"/>
      <w:numFmt w:val="decimal"/>
      <w:pStyle w:val="85"/>
      <w:suff w:val="nothing"/>
      <w:lvlText w:val="%1.%2　"/>
      <w:lvlJc w:val="left"/>
      <w:pPr>
        <w:ind w:left="0" w:firstLine="0"/>
      </w:pPr>
      <w:rPr>
        <w:rFonts w:hint="eastAsia" w:ascii="黑体" w:eastAsia="黑体"/>
        <w:b w:val="0"/>
        <w:i w:val="0"/>
        <w:sz w:val="21"/>
      </w:rPr>
    </w:lvl>
    <w:lvl w:ilvl="2" w:tentative="0">
      <w:start w:val="1"/>
      <w:numFmt w:val="decimal"/>
      <w:pStyle w:val="86"/>
      <w:suff w:val="nothing"/>
      <w:lvlText w:val="%1.%2.%3　"/>
      <w:lvlJc w:val="left"/>
      <w:pPr>
        <w:ind w:left="0" w:firstLine="0"/>
      </w:pPr>
      <w:rPr>
        <w:rFonts w:hint="eastAsia" w:ascii="黑体" w:eastAsia="黑体"/>
        <w:b w:val="0"/>
        <w:i w:val="0"/>
        <w:sz w:val="21"/>
      </w:rPr>
    </w:lvl>
    <w:lvl w:ilvl="3" w:tentative="0">
      <w:start w:val="1"/>
      <w:numFmt w:val="decimal"/>
      <w:pStyle w:val="88"/>
      <w:suff w:val="nothing"/>
      <w:lvlText w:val="%1.%2.%3.%4　"/>
      <w:lvlJc w:val="left"/>
      <w:pPr>
        <w:ind w:left="0" w:firstLine="0"/>
      </w:pPr>
      <w:rPr>
        <w:rFonts w:hint="eastAsia" w:ascii="黑体" w:eastAsia="黑体"/>
        <w:b w:val="0"/>
        <w:i w:val="0"/>
        <w:sz w:val="21"/>
      </w:rPr>
    </w:lvl>
    <w:lvl w:ilvl="4" w:tentative="0">
      <w:start w:val="1"/>
      <w:numFmt w:val="decimal"/>
      <w:pStyle w:val="89"/>
      <w:suff w:val="nothing"/>
      <w:lvlText w:val="%1.%2.%3.%4.%5　"/>
      <w:lvlJc w:val="left"/>
      <w:pPr>
        <w:ind w:left="0" w:firstLine="0"/>
      </w:pPr>
      <w:rPr>
        <w:rFonts w:hint="eastAsia" w:ascii="黑体" w:eastAsia="黑体"/>
        <w:b w:val="0"/>
        <w:i w:val="0"/>
        <w:sz w:val="21"/>
      </w:rPr>
    </w:lvl>
    <w:lvl w:ilvl="5" w:tentative="0">
      <w:start w:val="1"/>
      <w:numFmt w:val="decimal"/>
      <w:pStyle w:val="91"/>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3"/>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37"/>
      <w:suff w:val="nothing"/>
      <w:lvlText w:val="%1"/>
      <w:lvlJc w:val="left"/>
      <w:pPr>
        <w:ind w:left="0" w:firstLine="0"/>
      </w:pPr>
      <w:rPr>
        <w:rFonts w:hint="eastAsia"/>
      </w:rPr>
    </w:lvl>
    <w:lvl w:ilvl="1" w:tentative="0">
      <w:start w:val="1"/>
      <w:numFmt w:val="decimal"/>
      <w:pStyle w:val="35"/>
      <w:suff w:val="nothing"/>
      <w:lvlText w:val="%1%2　"/>
      <w:lvlJc w:val="left"/>
      <w:pPr>
        <w:ind w:left="0" w:firstLine="0"/>
      </w:pPr>
      <w:rPr>
        <w:rFonts w:hint="eastAsia" w:ascii="黑体" w:eastAsia="黑体"/>
        <w:b w:val="0"/>
        <w:i w:val="0"/>
        <w:sz w:val="21"/>
      </w:rPr>
    </w:lvl>
    <w:lvl w:ilvl="2" w:tentative="0">
      <w:start w:val="1"/>
      <w:numFmt w:val="decimal"/>
      <w:pStyle w:val="3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39"/>
      <w:suff w:val="nothing"/>
      <w:lvlText w:val="%1%2.%3.%4　"/>
      <w:lvlJc w:val="left"/>
      <w:pPr>
        <w:ind w:left="0" w:firstLine="0"/>
      </w:pPr>
      <w:rPr>
        <w:rFonts w:hint="eastAsia" w:ascii="黑体" w:eastAsia="黑体"/>
        <w:b w:val="0"/>
        <w:i w:val="0"/>
        <w:sz w:val="21"/>
      </w:rPr>
    </w:lvl>
    <w:lvl w:ilvl="4" w:tentative="0">
      <w:start w:val="1"/>
      <w:numFmt w:val="decimal"/>
      <w:pStyle w:val="40"/>
      <w:suff w:val="nothing"/>
      <w:lvlText w:val="%1%2.%3.%4.%5　"/>
      <w:lvlJc w:val="left"/>
      <w:pPr>
        <w:ind w:left="0" w:firstLine="0"/>
      </w:pPr>
      <w:rPr>
        <w:rFonts w:hint="eastAsia" w:ascii="黑体" w:eastAsia="黑体"/>
        <w:b w:val="0"/>
        <w:i w:val="0"/>
        <w:sz w:val="21"/>
      </w:rPr>
    </w:lvl>
    <w:lvl w:ilvl="5" w:tentative="0">
      <w:start w:val="1"/>
      <w:numFmt w:val="decimal"/>
      <w:pStyle w:val="41"/>
      <w:suff w:val="nothing"/>
      <w:lvlText w:val="%1%2.%3.%4.%5.%6　"/>
      <w:lvlJc w:val="left"/>
      <w:pPr>
        <w:ind w:left="0" w:firstLine="0"/>
      </w:pPr>
      <w:rPr>
        <w:rFonts w:hint="eastAsia" w:ascii="黑体" w:eastAsia="黑体"/>
        <w:b w:val="0"/>
        <w:i w:val="0"/>
        <w:sz w:val="21"/>
      </w:rPr>
    </w:lvl>
    <w:lvl w:ilvl="6" w:tentative="0">
      <w:start w:val="1"/>
      <w:numFmt w:val="decimal"/>
      <w:pStyle w:val="42"/>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7"/>
  </w:num>
  <w:num w:numId="2">
    <w:abstractNumId w:val="0"/>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attachedTemplate r:id="rId1"/>
  <w:documentProtection w:edit="forms" w:enforcement="1" w:cryptProviderType="rsaAES" w:cryptAlgorithmClass="hash" w:cryptAlgorithmType="typeAny" w:cryptAlgorithmSid="14" w:cryptSpinCount="100000" w:hash="lDWJbH3Wp7y8OAkBrEOe2TdjPImb56dOfAKsJfmwKnv9k+SpCujuZH8DdU/4i2rDn9xTbMrEDhgQqD1SpFxQIQ==" w:salt="ndxuxgztSmqsYrL5xY+BW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5MzJmZmNiYjQyYzE5YTM5NWQ0Y2MzZDYzYjZhMDQifQ=="/>
  </w:docVars>
  <w:rsids>
    <w:rsidRoot w:val="00484AF9"/>
    <w:rsid w:val="0000040A"/>
    <w:rsid w:val="00000A94"/>
    <w:rsid w:val="00001972"/>
    <w:rsid w:val="00001D9A"/>
    <w:rsid w:val="0000485A"/>
    <w:rsid w:val="00007B3A"/>
    <w:rsid w:val="000107E0"/>
    <w:rsid w:val="00011FDE"/>
    <w:rsid w:val="00012FFD"/>
    <w:rsid w:val="00014162"/>
    <w:rsid w:val="00014340"/>
    <w:rsid w:val="00016A9C"/>
    <w:rsid w:val="00022184"/>
    <w:rsid w:val="00022762"/>
    <w:rsid w:val="000238E0"/>
    <w:rsid w:val="000249DB"/>
    <w:rsid w:val="0002595E"/>
    <w:rsid w:val="000303C3"/>
    <w:rsid w:val="0003310E"/>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BA0"/>
    <w:rsid w:val="00067F1E"/>
    <w:rsid w:val="00071CC0"/>
    <w:rsid w:val="000721AB"/>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5B8"/>
    <w:rsid w:val="000C7666"/>
    <w:rsid w:val="000D0A9C"/>
    <w:rsid w:val="000D1795"/>
    <w:rsid w:val="000D329A"/>
    <w:rsid w:val="000D4B9C"/>
    <w:rsid w:val="000D4EB6"/>
    <w:rsid w:val="000D753B"/>
    <w:rsid w:val="000E467D"/>
    <w:rsid w:val="000E4C9E"/>
    <w:rsid w:val="000E6FD7"/>
    <w:rsid w:val="000F06E1"/>
    <w:rsid w:val="000F0E3C"/>
    <w:rsid w:val="000F163D"/>
    <w:rsid w:val="000F19D5"/>
    <w:rsid w:val="000F1F81"/>
    <w:rsid w:val="000F4AEA"/>
    <w:rsid w:val="000F633F"/>
    <w:rsid w:val="000F67E9"/>
    <w:rsid w:val="00104926"/>
    <w:rsid w:val="00113B1E"/>
    <w:rsid w:val="00115549"/>
    <w:rsid w:val="00115F37"/>
    <w:rsid w:val="0011711C"/>
    <w:rsid w:val="0012059C"/>
    <w:rsid w:val="00121222"/>
    <w:rsid w:val="00124E4F"/>
    <w:rsid w:val="001260B7"/>
    <w:rsid w:val="001265CB"/>
    <w:rsid w:val="00130BDD"/>
    <w:rsid w:val="001321C6"/>
    <w:rsid w:val="001325C4"/>
    <w:rsid w:val="00133010"/>
    <w:rsid w:val="001338EE"/>
    <w:rsid w:val="00133AAE"/>
    <w:rsid w:val="00135323"/>
    <w:rsid w:val="001353DC"/>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69F"/>
    <w:rsid w:val="00166B88"/>
    <w:rsid w:val="0016770A"/>
    <w:rsid w:val="001678F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4C"/>
    <w:rsid w:val="001A4CF3"/>
    <w:rsid w:val="001B06E8"/>
    <w:rsid w:val="001B71D0"/>
    <w:rsid w:val="001B71EE"/>
    <w:rsid w:val="001B7653"/>
    <w:rsid w:val="001C04A8"/>
    <w:rsid w:val="001C0A6F"/>
    <w:rsid w:val="001C2C03"/>
    <w:rsid w:val="001C42F7"/>
    <w:rsid w:val="001C490C"/>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672"/>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93"/>
    <w:rsid w:val="002142EA"/>
    <w:rsid w:val="002204BB"/>
    <w:rsid w:val="00221B79"/>
    <w:rsid w:val="00221C6B"/>
    <w:rsid w:val="002253A1"/>
    <w:rsid w:val="00225CF8"/>
    <w:rsid w:val="0022794E"/>
    <w:rsid w:val="00231A41"/>
    <w:rsid w:val="00233D64"/>
    <w:rsid w:val="0023482A"/>
    <w:rsid w:val="002359CB"/>
    <w:rsid w:val="002431C7"/>
    <w:rsid w:val="00243540"/>
    <w:rsid w:val="002445D6"/>
    <w:rsid w:val="0024497B"/>
    <w:rsid w:val="0024515B"/>
    <w:rsid w:val="00246021"/>
    <w:rsid w:val="0024656B"/>
    <w:rsid w:val="0024666E"/>
    <w:rsid w:val="00247F52"/>
    <w:rsid w:val="00250B25"/>
    <w:rsid w:val="00250BBE"/>
    <w:rsid w:val="002515C2"/>
    <w:rsid w:val="0025194F"/>
    <w:rsid w:val="0026148A"/>
    <w:rsid w:val="00262696"/>
    <w:rsid w:val="00263D25"/>
    <w:rsid w:val="002643C3"/>
    <w:rsid w:val="00264A0C"/>
    <w:rsid w:val="00266EEB"/>
    <w:rsid w:val="0026731E"/>
    <w:rsid w:val="00267EF4"/>
    <w:rsid w:val="00270CB8"/>
    <w:rsid w:val="00272B08"/>
    <w:rsid w:val="002735A8"/>
    <w:rsid w:val="002771AC"/>
    <w:rsid w:val="0028125D"/>
    <w:rsid w:val="00281BB8"/>
    <w:rsid w:val="00281E9E"/>
    <w:rsid w:val="00282405"/>
    <w:rsid w:val="00285170"/>
    <w:rsid w:val="00285361"/>
    <w:rsid w:val="00292A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20D"/>
    <w:rsid w:val="002D6EC6"/>
    <w:rsid w:val="002D79AC"/>
    <w:rsid w:val="002E039D"/>
    <w:rsid w:val="002E4D5A"/>
    <w:rsid w:val="002E6326"/>
    <w:rsid w:val="002F0CA5"/>
    <w:rsid w:val="002F30E0"/>
    <w:rsid w:val="002F35E4"/>
    <w:rsid w:val="002F3730"/>
    <w:rsid w:val="002F38E1"/>
    <w:rsid w:val="002F5F1D"/>
    <w:rsid w:val="002F7AF6"/>
    <w:rsid w:val="00300E63"/>
    <w:rsid w:val="00302F5F"/>
    <w:rsid w:val="0030441D"/>
    <w:rsid w:val="00306063"/>
    <w:rsid w:val="00311B6A"/>
    <w:rsid w:val="00313B85"/>
    <w:rsid w:val="00317988"/>
    <w:rsid w:val="00320556"/>
    <w:rsid w:val="003221B4"/>
    <w:rsid w:val="0032258D"/>
    <w:rsid w:val="00322E62"/>
    <w:rsid w:val="00324D13"/>
    <w:rsid w:val="00324D2A"/>
    <w:rsid w:val="00324EDD"/>
    <w:rsid w:val="003331E4"/>
    <w:rsid w:val="00333CD8"/>
    <w:rsid w:val="00335D83"/>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2"/>
    <w:rsid w:val="003B6BE3"/>
    <w:rsid w:val="003C010C"/>
    <w:rsid w:val="003C0A6C"/>
    <w:rsid w:val="003C14F8"/>
    <w:rsid w:val="003C5A43"/>
    <w:rsid w:val="003D0519"/>
    <w:rsid w:val="003D0FF6"/>
    <w:rsid w:val="003D262C"/>
    <w:rsid w:val="003D6D61"/>
    <w:rsid w:val="003D79C6"/>
    <w:rsid w:val="003E091D"/>
    <w:rsid w:val="003E1C24"/>
    <w:rsid w:val="003E1C53"/>
    <w:rsid w:val="003E2A69"/>
    <w:rsid w:val="003E2D49"/>
    <w:rsid w:val="003E2FD4"/>
    <w:rsid w:val="003E49F6"/>
    <w:rsid w:val="003E660F"/>
    <w:rsid w:val="003F0841"/>
    <w:rsid w:val="003F0E4F"/>
    <w:rsid w:val="003F23D3"/>
    <w:rsid w:val="003F3F08"/>
    <w:rsid w:val="003F4596"/>
    <w:rsid w:val="003F49F1"/>
    <w:rsid w:val="003F6272"/>
    <w:rsid w:val="00400E72"/>
    <w:rsid w:val="00401400"/>
    <w:rsid w:val="00404869"/>
    <w:rsid w:val="00405884"/>
    <w:rsid w:val="00406D6E"/>
    <w:rsid w:val="00407D39"/>
    <w:rsid w:val="0041477A"/>
    <w:rsid w:val="004167A3"/>
    <w:rsid w:val="0042327A"/>
    <w:rsid w:val="00432DAA"/>
    <w:rsid w:val="00434305"/>
    <w:rsid w:val="00435DF7"/>
    <w:rsid w:val="004379C3"/>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1F94"/>
    <w:rsid w:val="00484936"/>
    <w:rsid w:val="00484AF9"/>
    <w:rsid w:val="00485C89"/>
    <w:rsid w:val="00486BE3"/>
    <w:rsid w:val="00490094"/>
    <w:rsid w:val="004905E4"/>
    <w:rsid w:val="00490A89"/>
    <w:rsid w:val="00490AB4"/>
    <w:rsid w:val="00492F02"/>
    <w:rsid w:val="004939AE"/>
    <w:rsid w:val="004A12DF"/>
    <w:rsid w:val="004A17E6"/>
    <w:rsid w:val="004A1BA8"/>
    <w:rsid w:val="004A1F82"/>
    <w:rsid w:val="004A4B57"/>
    <w:rsid w:val="004A5A0F"/>
    <w:rsid w:val="004A63FA"/>
    <w:rsid w:val="004B0272"/>
    <w:rsid w:val="004B2701"/>
    <w:rsid w:val="004B2737"/>
    <w:rsid w:val="004B2E1B"/>
    <w:rsid w:val="004B3AA8"/>
    <w:rsid w:val="004B3E93"/>
    <w:rsid w:val="004B636E"/>
    <w:rsid w:val="004C1AFA"/>
    <w:rsid w:val="004C1FBC"/>
    <w:rsid w:val="004C3F1D"/>
    <w:rsid w:val="004C458D"/>
    <w:rsid w:val="004C7556"/>
    <w:rsid w:val="004C7E8B"/>
    <w:rsid w:val="004C7E9D"/>
    <w:rsid w:val="004C7F67"/>
    <w:rsid w:val="004D076D"/>
    <w:rsid w:val="004D0EF1"/>
    <w:rsid w:val="004D13E7"/>
    <w:rsid w:val="004D1C64"/>
    <w:rsid w:val="004D2253"/>
    <w:rsid w:val="004D4406"/>
    <w:rsid w:val="004D7C42"/>
    <w:rsid w:val="004E0465"/>
    <w:rsid w:val="004E055C"/>
    <w:rsid w:val="004E127B"/>
    <w:rsid w:val="004E1C0A"/>
    <w:rsid w:val="004E1FF5"/>
    <w:rsid w:val="004E2B06"/>
    <w:rsid w:val="004E30C5"/>
    <w:rsid w:val="004E4AA5"/>
    <w:rsid w:val="004E4AEE"/>
    <w:rsid w:val="004E59E3"/>
    <w:rsid w:val="004E67C0"/>
    <w:rsid w:val="004E7FA9"/>
    <w:rsid w:val="004F391A"/>
    <w:rsid w:val="004F3CFB"/>
    <w:rsid w:val="004F6456"/>
    <w:rsid w:val="004F696E"/>
    <w:rsid w:val="004F6C71"/>
    <w:rsid w:val="00501139"/>
    <w:rsid w:val="0050363E"/>
    <w:rsid w:val="005039BC"/>
    <w:rsid w:val="005043BB"/>
    <w:rsid w:val="00504A3D"/>
    <w:rsid w:val="00505767"/>
    <w:rsid w:val="005073F0"/>
    <w:rsid w:val="00510A7B"/>
    <w:rsid w:val="00511BF9"/>
    <w:rsid w:val="00512F6E"/>
    <w:rsid w:val="00513038"/>
    <w:rsid w:val="00514174"/>
    <w:rsid w:val="00516088"/>
    <w:rsid w:val="00516B0B"/>
    <w:rsid w:val="005220EC"/>
    <w:rsid w:val="00523F95"/>
    <w:rsid w:val="00524D65"/>
    <w:rsid w:val="00525B16"/>
    <w:rsid w:val="005317F8"/>
    <w:rsid w:val="00533D04"/>
    <w:rsid w:val="00534804"/>
    <w:rsid w:val="00534BDF"/>
    <w:rsid w:val="005354EA"/>
    <w:rsid w:val="0053585F"/>
    <w:rsid w:val="00535EC4"/>
    <w:rsid w:val="00535ED9"/>
    <w:rsid w:val="0053692B"/>
    <w:rsid w:val="00540CC0"/>
    <w:rsid w:val="00541853"/>
    <w:rsid w:val="00543BDA"/>
    <w:rsid w:val="005441CC"/>
    <w:rsid w:val="005479DA"/>
    <w:rsid w:val="00547BCC"/>
    <w:rsid w:val="0055013B"/>
    <w:rsid w:val="00551F6F"/>
    <w:rsid w:val="00553691"/>
    <w:rsid w:val="00555044"/>
    <w:rsid w:val="00561475"/>
    <w:rsid w:val="0056487B"/>
    <w:rsid w:val="00564FB9"/>
    <w:rsid w:val="005701D1"/>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5550"/>
    <w:rsid w:val="005A7830"/>
    <w:rsid w:val="005A7FCE"/>
    <w:rsid w:val="005B0F3F"/>
    <w:rsid w:val="005B3653"/>
    <w:rsid w:val="005B4903"/>
    <w:rsid w:val="005B51CE"/>
    <w:rsid w:val="005B5885"/>
    <w:rsid w:val="005B5CB9"/>
    <w:rsid w:val="005B5CD7"/>
    <w:rsid w:val="005B6CF6"/>
    <w:rsid w:val="005B7422"/>
    <w:rsid w:val="005C29B8"/>
    <w:rsid w:val="005C5508"/>
    <w:rsid w:val="005C5F21"/>
    <w:rsid w:val="005C7156"/>
    <w:rsid w:val="005D0C75"/>
    <w:rsid w:val="005D4171"/>
    <w:rsid w:val="005D6A95"/>
    <w:rsid w:val="005D6B2C"/>
    <w:rsid w:val="005D6D9C"/>
    <w:rsid w:val="005E0490"/>
    <w:rsid w:val="005E2335"/>
    <w:rsid w:val="005E34CA"/>
    <w:rsid w:val="005E3C18"/>
    <w:rsid w:val="005E6812"/>
    <w:rsid w:val="005E7881"/>
    <w:rsid w:val="005E78E0"/>
    <w:rsid w:val="005F0D9C"/>
    <w:rsid w:val="005F2583"/>
    <w:rsid w:val="005F284E"/>
    <w:rsid w:val="005F4712"/>
    <w:rsid w:val="005F4A83"/>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89E"/>
    <w:rsid w:val="00672060"/>
    <w:rsid w:val="00672BFD"/>
    <w:rsid w:val="00675F5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1274"/>
    <w:rsid w:val="006B2672"/>
    <w:rsid w:val="006B4A0B"/>
    <w:rsid w:val="006B54BF"/>
    <w:rsid w:val="006B5F44"/>
    <w:rsid w:val="006B5F90"/>
    <w:rsid w:val="006B62E4"/>
    <w:rsid w:val="006C1BBA"/>
    <w:rsid w:val="006C2079"/>
    <w:rsid w:val="006C5A62"/>
    <w:rsid w:val="006C5D68"/>
    <w:rsid w:val="006C6976"/>
    <w:rsid w:val="006C6DD0"/>
    <w:rsid w:val="006D04EA"/>
    <w:rsid w:val="006D0AB7"/>
    <w:rsid w:val="006D1134"/>
    <w:rsid w:val="006D16C4"/>
    <w:rsid w:val="006D1C64"/>
    <w:rsid w:val="006D3E96"/>
    <w:rsid w:val="006D4515"/>
    <w:rsid w:val="006D4BB1"/>
    <w:rsid w:val="006D6593"/>
    <w:rsid w:val="006E23EA"/>
    <w:rsid w:val="006E5ACB"/>
    <w:rsid w:val="006F03A8"/>
    <w:rsid w:val="006F1FBE"/>
    <w:rsid w:val="006F2ACA"/>
    <w:rsid w:val="006F2ADC"/>
    <w:rsid w:val="006F2BFE"/>
    <w:rsid w:val="006F31E9"/>
    <w:rsid w:val="006F6284"/>
    <w:rsid w:val="007002C5"/>
    <w:rsid w:val="00704387"/>
    <w:rsid w:val="00707669"/>
    <w:rsid w:val="0071149C"/>
    <w:rsid w:val="00711CBA"/>
    <w:rsid w:val="00711FB5"/>
    <w:rsid w:val="00712A01"/>
    <w:rsid w:val="00714F58"/>
    <w:rsid w:val="00722FBF"/>
    <w:rsid w:val="00722FC2"/>
    <w:rsid w:val="00723466"/>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594D"/>
    <w:rsid w:val="00746800"/>
    <w:rsid w:val="007501A8"/>
    <w:rsid w:val="00750A38"/>
    <w:rsid w:val="00750D61"/>
    <w:rsid w:val="00750EE1"/>
    <w:rsid w:val="00752B4D"/>
    <w:rsid w:val="007531E8"/>
    <w:rsid w:val="00755402"/>
    <w:rsid w:val="00756B26"/>
    <w:rsid w:val="00756EDF"/>
    <w:rsid w:val="007600E3"/>
    <w:rsid w:val="00765C43"/>
    <w:rsid w:val="00765EFB"/>
    <w:rsid w:val="007671CA"/>
    <w:rsid w:val="00767C61"/>
    <w:rsid w:val="0077008A"/>
    <w:rsid w:val="00773C1F"/>
    <w:rsid w:val="00774DA4"/>
    <w:rsid w:val="00776599"/>
    <w:rsid w:val="0078114B"/>
    <w:rsid w:val="00781317"/>
    <w:rsid w:val="00781DD2"/>
    <w:rsid w:val="00783ECF"/>
    <w:rsid w:val="0078413A"/>
    <w:rsid w:val="007933DC"/>
    <w:rsid w:val="00794128"/>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7FA"/>
    <w:rsid w:val="007C1E8B"/>
    <w:rsid w:val="007C2D89"/>
    <w:rsid w:val="007C4593"/>
    <w:rsid w:val="007C5309"/>
    <w:rsid w:val="007C6069"/>
    <w:rsid w:val="007D06C4"/>
    <w:rsid w:val="007D1352"/>
    <w:rsid w:val="007D2508"/>
    <w:rsid w:val="007D346A"/>
    <w:rsid w:val="007D5547"/>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A41"/>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25AD"/>
    <w:rsid w:val="00883F93"/>
    <w:rsid w:val="00884DB3"/>
    <w:rsid w:val="00885A9D"/>
    <w:rsid w:val="008864F6"/>
    <w:rsid w:val="0089049D"/>
    <w:rsid w:val="008928C9"/>
    <w:rsid w:val="008930CB"/>
    <w:rsid w:val="008938DC"/>
    <w:rsid w:val="00893FD1"/>
    <w:rsid w:val="00894836"/>
    <w:rsid w:val="00895172"/>
    <w:rsid w:val="00895680"/>
    <w:rsid w:val="00895C40"/>
    <w:rsid w:val="00896DFF"/>
    <w:rsid w:val="0089762C"/>
    <w:rsid w:val="008A1893"/>
    <w:rsid w:val="008A3215"/>
    <w:rsid w:val="008A3451"/>
    <w:rsid w:val="008A57E6"/>
    <w:rsid w:val="008A6F81"/>
    <w:rsid w:val="008A769A"/>
    <w:rsid w:val="008B0C9C"/>
    <w:rsid w:val="008B166D"/>
    <w:rsid w:val="008B17F4"/>
    <w:rsid w:val="008B3615"/>
    <w:rsid w:val="008B4AC4"/>
    <w:rsid w:val="008B50C8"/>
    <w:rsid w:val="008B5281"/>
    <w:rsid w:val="008B717A"/>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603"/>
    <w:rsid w:val="008E0C9D"/>
    <w:rsid w:val="008E1648"/>
    <w:rsid w:val="008E1B3E"/>
    <w:rsid w:val="008E2319"/>
    <w:rsid w:val="008E4BB6"/>
    <w:rsid w:val="008E5518"/>
    <w:rsid w:val="008E6A84"/>
    <w:rsid w:val="008F0458"/>
    <w:rsid w:val="008F0CDC"/>
    <w:rsid w:val="008F17A3"/>
    <w:rsid w:val="008F1ED3"/>
    <w:rsid w:val="008F23A5"/>
    <w:rsid w:val="008F4C29"/>
    <w:rsid w:val="008F70BD"/>
    <w:rsid w:val="008F788F"/>
    <w:rsid w:val="008F7EA2"/>
    <w:rsid w:val="009024B3"/>
    <w:rsid w:val="00902722"/>
    <w:rsid w:val="009027BC"/>
    <w:rsid w:val="00902BFA"/>
    <w:rsid w:val="0090472A"/>
    <w:rsid w:val="009062E6"/>
    <w:rsid w:val="0090645C"/>
    <w:rsid w:val="00906EC8"/>
    <w:rsid w:val="00911BE5"/>
    <w:rsid w:val="00913CA9"/>
    <w:rsid w:val="009145AE"/>
    <w:rsid w:val="009146CE"/>
    <w:rsid w:val="00914CA7"/>
    <w:rsid w:val="00915C3E"/>
    <w:rsid w:val="009161A8"/>
    <w:rsid w:val="009245F5"/>
    <w:rsid w:val="009249EC"/>
    <w:rsid w:val="009273B3"/>
    <w:rsid w:val="00927C04"/>
    <w:rsid w:val="009305B5"/>
    <w:rsid w:val="009352B8"/>
    <w:rsid w:val="009429D5"/>
    <w:rsid w:val="00942BF1"/>
    <w:rsid w:val="00945180"/>
    <w:rsid w:val="00945428"/>
    <w:rsid w:val="0094607B"/>
    <w:rsid w:val="009463D1"/>
    <w:rsid w:val="00953604"/>
    <w:rsid w:val="0095496B"/>
    <w:rsid w:val="009610DC"/>
    <w:rsid w:val="00961490"/>
    <w:rsid w:val="0096381A"/>
    <w:rsid w:val="00965E04"/>
    <w:rsid w:val="009674AD"/>
    <w:rsid w:val="00970CDC"/>
    <w:rsid w:val="00974C93"/>
    <w:rsid w:val="00977010"/>
    <w:rsid w:val="00977D02"/>
    <w:rsid w:val="009809BB"/>
    <w:rsid w:val="0098206B"/>
    <w:rsid w:val="0098364B"/>
    <w:rsid w:val="0098476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430"/>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1812"/>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83E"/>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008"/>
    <w:rsid w:val="00A61414"/>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B73C1"/>
    <w:rsid w:val="00AC27A6"/>
    <w:rsid w:val="00AC30F7"/>
    <w:rsid w:val="00AC3A5A"/>
    <w:rsid w:val="00AC4D95"/>
    <w:rsid w:val="00AC51EA"/>
    <w:rsid w:val="00AC5DF4"/>
    <w:rsid w:val="00AD0AEF"/>
    <w:rsid w:val="00AD11B7"/>
    <w:rsid w:val="00AD1A94"/>
    <w:rsid w:val="00AD1C05"/>
    <w:rsid w:val="00AD4126"/>
    <w:rsid w:val="00AD421C"/>
    <w:rsid w:val="00AD44FA"/>
    <w:rsid w:val="00AE070A"/>
    <w:rsid w:val="00AE101C"/>
    <w:rsid w:val="00AE37E5"/>
    <w:rsid w:val="00AE5EB4"/>
    <w:rsid w:val="00AF078C"/>
    <w:rsid w:val="00AF0C18"/>
    <w:rsid w:val="00AF47C5"/>
    <w:rsid w:val="00AF5398"/>
    <w:rsid w:val="00B049AF"/>
    <w:rsid w:val="00B07242"/>
    <w:rsid w:val="00B10534"/>
    <w:rsid w:val="00B113DB"/>
    <w:rsid w:val="00B11D8A"/>
    <w:rsid w:val="00B12981"/>
    <w:rsid w:val="00B147DD"/>
    <w:rsid w:val="00B156FD"/>
    <w:rsid w:val="00B1590A"/>
    <w:rsid w:val="00B16386"/>
    <w:rsid w:val="00B21F61"/>
    <w:rsid w:val="00B24F7E"/>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49F9"/>
    <w:rsid w:val="00B65149"/>
    <w:rsid w:val="00B66567"/>
    <w:rsid w:val="00B66F52"/>
    <w:rsid w:val="00B66FE5"/>
    <w:rsid w:val="00B72880"/>
    <w:rsid w:val="00B758BF"/>
    <w:rsid w:val="00B76409"/>
    <w:rsid w:val="00B77EC8"/>
    <w:rsid w:val="00B803E2"/>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073F"/>
    <w:rsid w:val="00BE22F3"/>
    <w:rsid w:val="00BE5B52"/>
    <w:rsid w:val="00BE5E69"/>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99A"/>
    <w:rsid w:val="00C21BFA"/>
    <w:rsid w:val="00C22148"/>
    <w:rsid w:val="00C24C8D"/>
    <w:rsid w:val="00C25FE2"/>
    <w:rsid w:val="00C26B53"/>
    <w:rsid w:val="00C279B2"/>
    <w:rsid w:val="00C33E50"/>
    <w:rsid w:val="00C34C20"/>
    <w:rsid w:val="00C35A3E"/>
    <w:rsid w:val="00C3731F"/>
    <w:rsid w:val="00C42130"/>
    <w:rsid w:val="00C423A4"/>
    <w:rsid w:val="00C44BF5"/>
    <w:rsid w:val="00C47446"/>
    <w:rsid w:val="00C521D6"/>
    <w:rsid w:val="00C55232"/>
    <w:rsid w:val="00C553A4"/>
    <w:rsid w:val="00C55A06"/>
    <w:rsid w:val="00C55D03"/>
    <w:rsid w:val="00C60146"/>
    <w:rsid w:val="00C601BC"/>
    <w:rsid w:val="00C61801"/>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34CF"/>
    <w:rsid w:val="00C9435D"/>
    <w:rsid w:val="00C94DF2"/>
    <w:rsid w:val="00C96741"/>
    <w:rsid w:val="00CA2D1B"/>
    <w:rsid w:val="00CA375D"/>
    <w:rsid w:val="00CA3F8C"/>
    <w:rsid w:val="00CA662A"/>
    <w:rsid w:val="00CA7AFD"/>
    <w:rsid w:val="00CA7C3C"/>
    <w:rsid w:val="00CB0189"/>
    <w:rsid w:val="00CB0BA2"/>
    <w:rsid w:val="00CB1A42"/>
    <w:rsid w:val="00CB1B0C"/>
    <w:rsid w:val="00CB2C0B"/>
    <w:rsid w:val="00CB517D"/>
    <w:rsid w:val="00CB5A13"/>
    <w:rsid w:val="00CB6B9B"/>
    <w:rsid w:val="00CC031C"/>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BE4"/>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E6E"/>
    <w:rsid w:val="00D25E37"/>
    <w:rsid w:val="00D2661A"/>
    <w:rsid w:val="00D27582"/>
    <w:rsid w:val="00D27EC4"/>
    <w:rsid w:val="00D32719"/>
    <w:rsid w:val="00D33199"/>
    <w:rsid w:val="00D33333"/>
    <w:rsid w:val="00D33457"/>
    <w:rsid w:val="00D352A2"/>
    <w:rsid w:val="00D3660F"/>
    <w:rsid w:val="00D4162B"/>
    <w:rsid w:val="00D41D1A"/>
    <w:rsid w:val="00D4514F"/>
    <w:rsid w:val="00D451E2"/>
    <w:rsid w:val="00D45E89"/>
    <w:rsid w:val="00D45E8D"/>
    <w:rsid w:val="00D466AE"/>
    <w:rsid w:val="00D4734F"/>
    <w:rsid w:val="00D51BF3"/>
    <w:rsid w:val="00D62DD8"/>
    <w:rsid w:val="00D66846"/>
    <w:rsid w:val="00D675FB"/>
    <w:rsid w:val="00D71F25"/>
    <w:rsid w:val="00D72A9C"/>
    <w:rsid w:val="00D77031"/>
    <w:rsid w:val="00D84941"/>
    <w:rsid w:val="00D84FA1"/>
    <w:rsid w:val="00D851F0"/>
    <w:rsid w:val="00D8672C"/>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8B"/>
    <w:rsid w:val="00DB6BCA"/>
    <w:rsid w:val="00DB73F7"/>
    <w:rsid w:val="00DC0321"/>
    <w:rsid w:val="00DC3067"/>
    <w:rsid w:val="00DC370B"/>
    <w:rsid w:val="00DC5B90"/>
    <w:rsid w:val="00DC7BF5"/>
    <w:rsid w:val="00DD00FF"/>
    <w:rsid w:val="00DD0619"/>
    <w:rsid w:val="00DD07FB"/>
    <w:rsid w:val="00DD1B03"/>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750"/>
    <w:rsid w:val="00E15CCD"/>
    <w:rsid w:val="00E202EF"/>
    <w:rsid w:val="00E210B5"/>
    <w:rsid w:val="00E22F16"/>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304"/>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0863"/>
    <w:rsid w:val="00E92F48"/>
    <w:rsid w:val="00E9311F"/>
    <w:rsid w:val="00E934D1"/>
    <w:rsid w:val="00E94AF0"/>
    <w:rsid w:val="00E95D13"/>
    <w:rsid w:val="00E95DD3"/>
    <w:rsid w:val="00E969D5"/>
    <w:rsid w:val="00EA58D1"/>
    <w:rsid w:val="00EA61BC"/>
    <w:rsid w:val="00EA681A"/>
    <w:rsid w:val="00EA735B"/>
    <w:rsid w:val="00EB17DE"/>
    <w:rsid w:val="00EB1E69"/>
    <w:rsid w:val="00EB2086"/>
    <w:rsid w:val="00EB3334"/>
    <w:rsid w:val="00EB464E"/>
    <w:rsid w:val="00EB5EDF"/>
    <w:rsid w:val="00EB60FE"/>
    <w:rsid w:val="00EB74DB"/>
    <w:rsid w:val="00EC2BEC"/>
    <w:rsid w:val="00EC5359"/>
    <w:rsid w:val="00EC562A"/>
    <w:rsid w:val="00ED067A"/>
    <w:rsid w:val="00ED2B50"/>
    <w:rsid w:val="00EE0350"/>
    <w:rsid w:val="00EE0719"/>
    <w:rsid w:val="00EE0E80"/>
    <w:rsid w:val="00EE28B9"/>
    <w:rsid w:val="00EE54A6"/>
    <w:rsid w:val="00EE613F"/>
    <w:rsid w:val="00EE7295"/>
    <w:rsid w:val="00EE7869"/>
    <w:rsid w:val="00EF054A"/>
    <w:rsid w:val="00EF3235"/>
    <w:rsid w:val="00EF7E72"/>
    <w:rsid w:val="00F00564"/>
    <w:rsid w:val="00F06D37"/>
    <w:rsid w:val="00F07B9D"/>
    <w:rsid w:val="00F11586"/>
    <w:rsid w:val="00F1183B"/>
    <w:rsid w:val="00F11C9F"/>
    <w:rsid w:val="00F12263"/>
    <w:rsid w:val="00F1409D"/>
    <w:rsid w:val="00F14214"/>
    <w:rsid w:val="00F157A9"/>
    <w:rsid w:val="00F16F3A"/>
    <w:rsid w:val="00F25BB6"/>
    <w:rsid w:val="00F26B7E"/>
    <w:rsid w:val="00F27A3B"/>
    <w:rsid w:val="00F32005"/>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06C"/>
    <w:rsid w:val="00F963ED"/>
    <w:rsid w:val="00F966CF"/>
    <w:rsid w:val="00F96CAE"/>
    <w:rsid w:val="00F97C99"/>
    <w:rsid w:val="00FA23BC"/>
    <w:rsid w:val="00FA4DAC"/>
    <w:rsid w:val="00FA662D"/>
    <w:rsid w:val="00FA73B1"/>
    <w:rsid w:val="00FB0CB9"/>
    <w:rsid w:val="00FB231D"/>
    <w:rsid w:val="00FB4160"/>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0D7DD7"/>
    <w:rsid w:val="01C04E49"/>
    <w:rsid w:val="02902BDF"/>
    <w:rsid w:val="050D2B11"/>
    <w:rsid w:val="05850883"/>
    <w:rsid w:val="06085010"/>
    <w:rsid w:val="08F30F9E"/>
    <w:rsid w:val="09866978"/>
    <w:rsid w:val="0BE1258C"/>
    <w:rsid w:val="0CCC383D"/>
    <w:rsid w:val="0D197B03"/>
    <w:rsid w:val="0D824C2B"/>
    <w:rsid w:val="0DA57405"/>
    <w:rsid w:val="0DEB76F2"/>
    <w:rsid w:val="0DFF3B7A"/>
    <w:rsid w:val="0E0662D9"/>
    <w:rsid w:val="0E5E7EC3"/>
    <w:rsid w:val="10F66F15"/>
    <w:rsid w:val="11034D52"/>
    <w:rsid w:val="12D90460"/>
    <w:rsid w:val="14A30D26"/>
    <w:rsid w:val="14E76E65"/>
    <w:rsid w:val="15080B89"/>
    <w:rsid w:val="15971DA7"/>
    <w:rsid w:val="16F5513D"/>
    <w:rsid w:val="175400B6"/>
    <w:rsid w:val="17AC1CA0"/>
    <w:rsid w:val="19991D2A"/>
    <w:rsid w:val="19B66E06"/>
    <w:rsid w:val="1B1464DA"/>
    <w:rsid w:val="1CC730D8"/>
    <w:rsid w:val="1DF4326A"/>
    <w:rsid w:val="1E0A5026"/>
    <w:rsid w:val="1E4744D0"/>
    <w:rsid w:val="2096173F"/>
    <w:rsid w:val="20FC3C98"/>
    <w:rsid w:val="21584C46"/>
    <w:rsid w:val="21963AE0"/>
    <w:rsid w:val="21AE4866"/>
    <w:rsid w:val="21F7620D"/>
    <w:rsid w:val="224F7DF7"/>
    <w:rsid w:val="23103A2A"/>
    <w:rsid w:val="231057D9"/>
    <w:rsid w:val="2331574F"/>
    <w:rsid w:val="24A26904"/>
    <w:rsid w:val="24BA6669"/>
    <w:rsid w:val="24F1163A"/>
    <w:rsid w:val="252275CF"/>
    <w:rsid w:val="27B8643F"/>
    <w:rsid w:val="27C6290A"/>
    <w:rsid w:val="28463A4A"/>
    <w:rsid w:val="285D35C1"/>
    <w:rsid w:val="289E5635"/>
    <w:rsid w:val="2939710B"/>
    <w:rsid w:val="299E762F"/>
    <w:rsid w:val="2B2A1401"/>
    <w:rsid w:val="2B6A3EF4"/>
    <w:rsid w:val="2CD91096"/>
    <w:rsid w:val="2D60735C"/>
    <w:rsid w:val="2E13617D"/>
    <w:rsid w:val="2E1A39AF"/>
    <w:rsid w:val="2E3031D3"/>
    <w:rsid w:val="2F324D29"/>
    <w:rsid w:val="31A4347E"/>
    <w:rsid w:val="322748ED"/>
    <w:rsid w:val="34E645EB"/>
    <w:rsid w:val="36A93B22"/>
    <w:rsid w:val="36B33539"/>
    <w:rsid w:val="37621F23"/>
    <w:rsid w:val="37773C20"/>
    <w:rsid w:val="384635F3"/>
    <w:rsid w:val="38637D01"/>
    <w:rsid w:val="39B822CE"/>
    <w:rsid w:val="3A112BAA"/>
    <w:rsid w:val="3ABB2CAA"/>
    <w:rsid w:val="3ACF5B21"/>
    <w:rsid w:val="3AF15A98"/>
    <w:rsid w:val="3B912DD7"/>
    <w:rsid w:val="3CF17FD1"/>
    <w:rsid w:val="3DC6320C"/>
    <w:rsid w:val="3E09134A"/>
    <w:rsid w:val="3E287A22"/>
    <w:rsid w:val="3EA64DFE"/>
    <w:rsid w:val="3EF75647"/>
    <w:rsid w:val="3F1D32FF"/>
    <w:rsid w:val="412169AB"/>
    <w:rsid w:val="41C04416"/>
    <w:rsid w:val="42786A9F"/>
    <w:rsid w:val="4395506D"/>
    <w:rsid w:val="46A47E62"/>
    <w:rsid w:val="47024B89"/>
    <w:rsid w:val="47EA3F9B"/>
    <w:rsid w:val="483D40CA"/>
    <w:rsid w:val="48945CB4"/>
    <w:rsid w:val="49995752"/>
    <w:rsid w:val="49DE18DD"/>
    <w:rsid w:val="49E52C6C"/>
    <w:rsid w:val="4A761B16"/>
    <w:rsid w:val="4ADE5503"/>
    <w:rsid w:val="4B2C48CA"/>
    <w:rsid w:val="4B663938"/>
    <w:rsid w:val="4B7C1E7B"/>
    <w:rsid w:val="4BBD5522"/>
    <w:rsid w:val="4C5B091A"/>
    <w:rsid w:val="4D3C262E"/>
    <w:rsid w:val="4D5A74CD"/>
    <w:rsid w:val="4D826A23"/>
    <w:rsid w:val="4DD83478"/>
    <w:rsid w:val="4E157897"/>
    <w:rsid w:val="4E1A4EAE"/>
    <w:rsid w:val="4E894E54"/>
    <w:rsid w:val="4F960564"/>
    <w:rsid w:val="4FA964E9"/>
    <w:rsid w:val="4FB82BD0"/>
    <w:rsid w:val="502B5150"/>
    <w:rsid w:val="513D338D"/>
    <w:rsid w:val="51BC69A8"/>
    <w:rsid w:val="51CB2747"/>
    <w:rsid w:val="51EA7960"/>
    <w:rsid w:val="525E7A5F"/>
    <w:rsid w:val="527F1783"/>
    <w:rsid w:val="538C7372"/>
    <w:rsid w:val="54662BFB"/>
    <w:rsid w:val="554747DA"/>
    <w:rsid w:val="55847799"/>
    <w:rsid w:val="559A7000"/>
    <w:rsid w:val="56686EF3"/>
    <w:rsid w:val="568832FC"/>
    <w:rsid w:val="57030BD5"/>
    <w:rsid w:val="578357BD"/>
    <w:rsid w:val="58466FCB"/>
    <w:rsid w:val="584B5A24"/>
    <w:rsid w:val="58545AF7"/>
    <w:rsid w:val="58F24A5D"/>
    <w:rsid w:val="58FA33C6"/>
    <w:rsid w:val="5A3572F7"/>
    <w:rsid w:val="5AE76118"/>
    <w:rsid w:val="5B5E0F00"/>
    <w:rsid w:val="5BAB5884"/>
    <w:rsid w:val="5BD3501A"/>
    <w:rsid w:val="5CF346CA"/>
    <w:rsid w:val="5D3E4715"/>
    <w:rsid w:val="605A6650"/>
    <w:rsid w:val="62195750"/>
    <w:rsid w:val="62D90A3C"/>
    <w:rsid w:val="632C3261"/>
    <w:rsid w:val="648D5F82"/>
    <w:rsid w:val="6497295D"/>
    <w:rsid w:val="65161473"/>
    <w:rsid w:val="65B23EF2"/>
    <w:rsid w:val="66164AC4"/>
    <w:rsid w:val="668518F9"/>
    <w:rsid w:val="66A80E51"/>
    <w:rsid w:val="677B6565"/>
    <w:rsid w:val="68015640"/>
    <w:rsid w:val="69787200"/>
    <w:rsid w:val="699A7177"/>
    <w:rsid w:val="69A753F0"/>
    <w:rsid w:val="69BD2E65"/>
    <w:rsid w:val="6A5512F0"/>
    <w:rsid w:val="6A6652AB"/>
    <w:rsid w:val="6B3B488D"/>
    <w:rsid w:val="6BBA58AE"/>
    <w:rsid w:val="6BCC55E2"/>
    <w:rsid w:val="6BD821D8"/>
    <w:rsid w:val="6C164AAF"/>
    <w:rsid w:val="6CCA06BA"/>
    <w:rsid w:val="6D0D7C60"/>
    <w:rsid w:val="6D231231"/>
    <w:rsid w:val="6D3E42BD"/>
    <w:rsid w:val="6E524719"/>
    <w:rsid w:val="6E5F3084"/>
    <w:rsid w:val="6F42460E"/>
    <w:rsid w:val="6F484F7F"/>
    <w:rsid w:val="6F5222A2"/>
    <w:rsid w:val="6FFD045F"/>
    <w:rsid w:val="7000585A"/>
    <w:rsid w:val="704E0625"/>
    <w:rsid w:val="718720E0"/>
    <w:rsid w:val="72E17BC5"/>
    <w:rsid w:val="732579F4"/>
    <w:rsid w:val="738E46A8"/>
    <w:rsid w:val="73DB2866"/>
    <w:rsid w:val="745443C6"/>
    <w:rsid w:val="756728EC"/>
    <w:rsid w:val="75987652"/>
    <w:rsid w:val="75B72E5F"/>
    <w:rsid w:val="75D765B8"/>
    <w:rsid w:val="75F23E97"/>
    <w:rsid w:val="76312C11"/>
    <w:rsid w:val="763B75EC"/>
    <w:rsid w:val="765B1A3C"/>
    <w:rsid w:val="7725748E"/>
    <w:rsid w:val="787D213D"/>
    <w:rsid w:val="791365FE"/>
    <w:rsid w:val="79492020"/>
    <w:rsid w:val="7A192C80"/>
    <w:rsid w:val="7B253576"/>
    <w:rsid w:val="7CCC3693"/>
    <w:rsid w:val="7D4E196E"/>
    <w:rsid w:val="7EA5419C"/>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4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5"/>
    <w:qFormat/>
    <w:uiPriority w:val="0"/>
    <w:pPr>
      <w:keepNext/>
      <w:keepLines/>
      <w:spacing w:before="260" w:after="260" w:line="416" w:lineRule="auto"/>
      <w:outlineLvl w:val="2"/>
    </w:pPr>
    <w:rPr>
      <w:b/>
      <w:bCs/>
      <w:sz w:val="32"/>
      <w:szCs w:val="32"/>
    </w:rPr>
  </w:style>
  <w:style w:type="paragraph" w:styleId="5">
    <w:name w:val="heading 4"/>
    <w:basedOn w:val="1"/>
    <w:next w:val="1"/>
    <w:link w:val="46"/>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7"/>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8"/>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9"/>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50"/>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51"/>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93"/>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54"/>
    <w:semiHidden/>
    <w:unhideWhenUsed/>
    <w:qFormat/>
    <w:uiPriority w:val="99"/>
    <w:rPr>
      <w:sz w:val="18"/>
      <w:szCs w:val="18"/>
    </w:rPr>
  </w:style>
  <w:style w:type="paragraph" w:styleId="17">
    <w:name w:val="footer"/>
    <w:basedOn w:val="1"/>
    <w:link w:val="53"/>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52"/>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rPr>
      <w:sz w:val="24"/>
    </w:rPr>
  </w:style>
  <w:style w:type="paragraph" w:styleId="26">
    <w:name w:val="Title"/>
    <w:basedOn w:val="1"/>
    <w:link w:val="57"/>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paragraph" w:customStyle="1" w:styleId="35">
    <w:name w:val="标准文件_章标题"/>
    <w:next w:val="36"/>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6">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7">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8">
    <w:name w:val="标准文件_一级条标题"/>
    <w:basedOn w:val="35"/>
    <w:next w:val="36"/>
    <w:qFormat/>
    <w:uiPriority w:val="0"/>
    <w:pPr>
      <w:numPr>
        <w:ilvl w:val="2"/>
      </w:numPr>
      <w:spacing w:before="50" w:beforeLines="50" w:after="50" w:afterLines="50"/>
      <w:outlineLvl w:val="1"/>
    </w:pPr>
  </w:style>
  <w:style w:type="paragraph" w:customStyle="1" w:styleId="39">
    <w:name w:val="标准文件_二级条标题"/>
    <w:next w:val="36"/>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40">
    <w:name w:val="标准文件_三级条标题"/>
    <w:basedOn w:val="39"/>
    <w:next w:val="36"/>
    <w:qFormat/>
    <w:uiPriority w:val="0"/>
    <w:pPr>
      <w:widowControl/>
      <w:numPr>
        <w:ilvl w:val="4"/>
      </w:numPr>
      <w:outlineLvl w:val="3"/>
    </w:pPr>
  </w:style>
  <w:style w:type="paragraph" w:customStyle="1" w:styleId="41">
    <w:name w:val="标准文件_四级条标题"/>
    <w:next w:val="36"/>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42">
    <w:name w:val="标准文件_五级条标题"/>
    <w:next w:val="36"/>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character" w:customStyle="1" w:styleId="43">
    <w:name w:val="标题 1 字符"/>
    <w:link w:val="2"/>
    <w:qFormat/>
    <w:uiPriority w:val="0"/>
    <w:rPr>
      <w:b/>
      <w:bCs/>
      <w:kern w:val="44"/>
      <w:sz w:val="44"/>
      <w:szCs w:val="44"/>
    </w:rPr>
  </w:style>
  <w:style w:type="character" w:customStyle="1" w:styleId="44">
    <w:name w:val="标题 2 字符"/>
    <w:link w:val="3"/>
    <w:qFormat/>
    <w:uiPriority w:val="0"/>
    <w:rPr>
      <w:rFonts w:ascii="Arial" w:hAnsi="Arial" w:eastAsia="黑体"/>
      <w:b/>
      <w:bCs/>
      <w:kern w:val="2"/>
      <w:sz w:val="32"/>
      <w:szCs w:val="32"/>
    </w:rPr>
  </w:style>
  <w:style w:type="character" w:customStyle="1" w:styleId="45">
    <w:name w:val="标题 3 字符"/>
    <w:link w:val="4"/>
    <w:qFormat/>
    <w:uiPriority w:val="0"/>
    <w:rPr>
      <w:b/>
      <w:bCs/>
      <w:kern w:val="2"/>
      <w:sz w:val="32"/>
      <w:szCs w:val="32"/>
    </w:rPr>
  </w:style>
  <w:style w:type="character" w:customStyle="1" w:styleId="46">
    <w:name w:val="标题 4 字符"/>
    <w:link w:val="5"/>
    <w:qFormat/>
    <w:uiPriority w:val="0"/>
    <w:rPr>
      <w:rFonts w:ascii="Arial" w:hAnsi="Arial" w:eastAsia="黑体"/>
      <w:b/>
      <w:bCs/>
      <w:kern w:val="2"/>
      <w:sz w:val="28"/>
      <w:szCs w:val="28"/>
    </w:rPr>
  </w:style>
  <w:style w:type="character" w:customStyle="1" w:styleId="47">
    <w:name w:val="标题 5 字符"/>
    <w:link w:val="6"/>
    <w:qFormat/>
    <w:uiPriority w:val="0"/>
    <w:rPr>
      <w:b/>
      <w:bCs/>
      <w:kern w:val="2"/>
      <w:sz w:val="28"/>
      <w:szCs w:val="28"/>
    </w:rPr>
  </w:style>
  <w:style w:type="character" w:customStyle="1" w:styleId="48">
    <w:name w:val="标题 6 字符"/>
    <w:link w:val="7"/>
    <w:qFormat/>
    <w:uiPriority w:val="0"/>
    <w:rPr>
      <w:rFonts w:ascii="Arial" w:hAnsi="Arial" w:eastAsia="黑体"/>
      <w:b/>
      <w:bCs/>
      <w:kern w:val="2"/>
      <w:sz w:val="24"/>
      <w:szCs w:val="24"/>
    </w:rPr>
  </w:style>
  <w:style w:type="character" w:customStyle="1" w:styleId="49">
    <w:name w:val="标题 7 字符"/>
    <w:link w:val="8"/>
    <w:qFormat/>
    <w:uiPriority w:val="0"/>
    <w:rPr>
      <w:b/>
      <w:bCs/>
      <w:kern w:val="2"/>
      <w:sz w:val="24"/>
      <w:szCs w:val="24"/>
    </w:rPr>
  </w:style>
  <w:style w:type="character" w:customStyle="1" w:styleId="50">
    <w:name w:val="标题 8 字符"/>
    <w:link w:val="9"/>
    <w:qFormat/>
    <w:uiPriority w:val="0"/>
    <w:rPr>
      <w:rFonts w:ascii="Arial" w:hAnsi="Arial" w:eastAsia="黑体"/>
      <w:kern w:val="2"/>
      <w:sz w:val="24"/>
      <w:szCs w:val="24"/>
    </w:rPr>
  </w:style>
  <w:style w:type="character" w:customStyle="1" w:styleId="51">
    <w:name w:val="标题 9 字符"/>
    <w:link w:val="10"/>
    <w:qFormat/>
    <w:uiPriority w:val="0"/>
    <w:rPr>
      <w:rFonts w:ascii="Arial" w:hAnsi="Arial" w:eastAsia="黑体"/>
      <w:kern w:val="2"/>
      <w:sz w:val="21"/>
      <w:szCs w:val="21"/>
    </w:rPr>
  </w:style>
  <w:style w:type="character" w:customStyle="1" w:styleId="52">
    <w:name w:val="页眉 字符"/>
    <w:link w:val="18"/>
    <w:qFormat/>
    <w:uiPriority w:val="99"/>
    <w:rPr>
      <w:kern w:val="2"/>
      <w:sz w:val="18"/>
      <w:szCs w:val="18"/>
    </w:rPr>
  </w:style>
  <w:style w:type="character" w:customStyle="1" w:styleId="53">
    <w:name w:val="页脚 字符"/>
    <w:link w:val="17"/>
    <w:qFormat/>
    <w:uiPriority w:val="99"/>
    <w:rPr>
      <w:rFonts w:ascii="宋体"/>
      <w:kern w:val="2"/>
      <w:sz w:val="18"/>
      <w:szCs w:val="18"/>
    </w:rPr>
  </w:style>
  <w:style w:type="character" w:customStyle="1" w:styleId="54">
    <w:name w:val="批注框文本 字符"/>
    <w:link w:val="16"/>
    <w:semiHidden/>
    <w:qFormat/>
    <w:uiPriority w:val="99"/>
    <w:rPr>
      <w:kern w:val="2"/>
      <w:sz w:val="18"/>
      <w:szCs w:val="18"/>
    </w:rPr>
  </w:style>
  <w:style w:type="paragraph" w:styleId="55">
    <w:name w:val="Quote"/>
    <w:basedOn w:val="1"/>
    <w:next w:val="1"/>
    <w:link w:val="56"/>
    <w:qFormat/>
    <w:uiPriority w:val="29"/>
    <w:rPr>
      <w:i/>
      <w:iCs/>
      <w:color w:val="000000"/>
    </w:rPr>
  </w:style>
  <w:style w:type="character" w:customStyle="1" w:styleId="56">
    <w:name w:val="引用 字符"/>
    <w:link w:val="55"/>
    <w:qFormat/>
    <w:uiPriority w:val="29"/>
    <w:rPr>
      <w:i/>
      <w:iCs/>
      <w:color w:val="000000"/>
      <w:kern w:val="2"/>
      <w:sz w:val="21"/>
      <w:szCs w:val="21"/>
    </w:rPr>
  </w:style>
  <w:style w:type="character" w:customStyle="1" w:styleId="57">
    <w:name w:val="标题 字符"/>
    <w:link w:val="26"/>
    <w:qFormat/>
    <w:uiPriority w:val="0"/>
    <w:rPr>
      <w:rFonts w:ascii="Arial" w:hAnsi="Arial" w:cs="Arial"/>
      <w:b/>
      <w:bCs/>
      <w:kern w:val="2"/>
      <w:sz w:val="32"/>
      <w:szCs w:val="32"/>
    </w:rPr>
  </w:style>
  <w:style w:type="paragraph" w:customStyle="1" w:styleId="58">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60">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61">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62">
    <w:name w:val="标准书眉一"/>
    <w:qFormat/>
    <w:uiPriority w:val="0"/>
    <w:pPr>
      <w:jc w:val="both"/>
    </w:pPr>
    <w:rPr>
      <w:rFonts w:ascii="Times New Roman" w:hAnsi="Times New Roman" w:eastAsia="宋体" w:cs="Times New Roman"/>
      <w:lang w:val="en-US" w:eastAsia="zh-CN" w:bidi="ar-SA"/>
    </w:rPr>
  </w:style>
  <w:style w:type="paragraph" w:customStyle="1" w:styleId="63">
    <w:name w:val="标准文件_ICS"/>
    <w:basedOn w:val="1"/>
    <w:qFormat/>
    <w:uiPriority w:val="0"/>
    <w:pPr>
      <w:spacing w:line="0" w:lineRule="atLeast"/>
    </w:pPr>
    <w:rPr>
      <w:rFonts w:ascii="黑体" w:hAnsi="宋体" w:eastAsia="黑体"/>
    </w:rPr>
  </w:style>
  <w:style w:type="paragraph" w:customStyle="1" w:styleId="64">
    <w:name w:val="标准文件_标准正文"/>
    <w:basedOn w:val="1"/>
    <w:next w:val="36"/>
    <w:qFormat/>
    <w:uiPriority w:val="0"/>
    <w:pPr>
      <w:snapToGrid w:val="0"/>
      <w:ind w:firstLine="200" w:firstLineChars="200"/>
    </w:pPr>
    <w:rPr>
      <w:kern w:val="0"/>
    </w:rPr>
  </w:style>
  <w:style w:type="paragraph" w:customStyle="1" w:styleId="65">
    <w:name w:val="标准文件_版本"/>
    <w:basedOn w:val="64"/>
    <w:qFormat/>
    <w:uiPriority w:val="0"/>
    <w:pPr>
      <w:adjustRightInd/>
      <w:snapToGrid/>
      <w:ind w:firstLine="0" w:firstLineChars="0"/>
    </w:pPr>
    <w:rPr>
      <w:rFonts w:ascii="宋体" w:hAnsi="宋体"/>
      <w:kern w:val="2"/>
    </w:rPr>
  </w:style>
  <w:style w:type="paragraph" w:customStyle="1" w:styleId="66">
    <w:name w:val="标准文件_标准部门"/>
    <w:basedOn w:val="1"/>
    <w:qFormat/>
    <w:uiPriority w:val="0"/>
    <w:pPr>
      <w:jc w:val="center"/>
    </w:pPr>
    <w:rPr>
      <w:rFonts w:ascii="黑体" w:eastAsia="黑体"/>
      <w:kern w:val="0"/>
      <w:sz w:val="44"/>
    </w:rPr>
  </w:style>
  <w:style w:type="paragraph" w:customStyle="1" w:styleId="67">
    <w:name w:val="标准文件_标准代替"/>
    <w:basedOn w:val="1"/>
    <w:next w:val="1"/>
    <w:qFormat/>
    <w:uiPriority w:val="0"/>
    <w:pPr>
      <w:spacing w:line="310" w:lineRule="exact"/>
      <w:jc w:val="right"/>
    </w:pPr>
    <w:rPr>
      <w:rFonts w:ascii="宋体" w:hAnsi="宋体"/>
      <w:kern w:val="0"/>
    </w:rPr>
  </w:style>
  <w:style w:type="paragraph" w:customStyle="1" w:styleId="68">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9">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70">
    <w:name w:val="标准文件_页眉偶数页"/>
    <w:basedOn w:val="69"/>
    <w:next w:val="1"/>
    <w:qFormat/>
    <w:uiPriority w:val="0"/>
    <w:pPr>
      <w:jc w:val="left"/>
    </w:pPr>
  </w:style>
  <w:style w:type="paragraph" w:customStyle="1" w:styleId="71">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2">
    <w:name w:val="标准文件_参考文献条目"/>
    <w:qFormat/>
    <w:uiPriority w:val="0"/>
    <w:pPr>
      <w:numPr>
        <w:ilvl w:val="0"/>
        <w:numId w:val="2"/>
      </w:numPr>
    </w:pPr>
    <w:rPr>
      <w:rFonts w:ascii="宋体" w:hAnsi="Times New Roman" w:eastAsia="宋体" w:cs="Times New Roman"/>
      <w:lang w:val="en-US" w:eastAsia="zh-CN" w:bidi="ar-SA"/>
    </w:rPr>
  </w:style>
  <w:style w:type="character" w:customStyle="1" w:styleId="73">
    <w:name w:val="标准文件_发布"/>
    <w:qFormat/>
    <w:uiPriority w:val="0"/>
    <w:rPr>
      <w:rFonts w:ascii="黑体" w:eastAsia="黑体"/>
      <w:spacing w:val="0"/>
      <w:w w:val="100"/>
      <w:position w:val="3"/>
      <w:sz w:val="28"/>
    </w:rPr>
  </w:style>
  <w:style w:type="paragraph" w:customStyle="1" w:styleId="74">
    <w:name w:val="标准文件_方框数字列项"/>
    <w:basedOn w:val="36"/>
    <w:qFormat/>
    <w:uiPriority w:val="0"/>
    <w:pPr>
      <w:numPr>
        <w:ilvl w:val="0"/>
        <w:numId w:val="3"/>
      </w:numPr>
      <w:ind w:firstLine="0" w:firstLineChars="0"/>
    </w:pPr>
  </w:style>
  <w:style w:type="paragraph" w:customStyle="1" w:styleId="75">
    <w:name w:val="标准文件_封面标准编号"/>
    <w:basedOn w:val="1"/>
    <w:next w:val="67"/>
    <w:qFormat/>
    <w:uiPriority w:val="0"/>
    <w:pPr>
      <w:spacing w:line="310" w:lineRule="exact"/>
      <w:jc w:val="right"/>
    </w:pPr>
    <w:rPr>
      <w:rFonts w:ascii="黑体" w:eastAsia="黑体"/>
      <w:kern w:val="0"/>
      <w:sz w:val="28"/>
    </w:rPr>
  </w:style>
  <w:style w:type="paragraph" w:customStyle="1" w:styleId="76">
    <w:name w:val="标准文件_封面标准分类号"/>
    <w:basedOn w:val="1"/>
    <w:qFormat/>
    <w:uiPriority w:val="0"/>
    <w:rPr>
      <w:rFonts w:ascii="黑体" w:eastAsia="黑体"/>
      <w:b/>
      <w:kern w:val="0"/>
      <w:sz w:val="28"/>
    </w:rPr>
  </w:style>
  <w:style w:type="paragraph" w:customStyle="1" w:styleId="77">
    <w:name w:val="标准文件_封面标准名称"/>
    <w:basedOn w:val="1"/>
    <w:qFormat/>
    <w:uiPriority w:val="0"/>
    <w:pPr>
      <w:spacing w:line="240" w:lineRule="auto"/>
      <w:jc w:val="center"/>
    </w:pPr>
    <w:rPr>
      <w:rFonts w:ascii="黑体" w:eastAsia="黑体"/>
      <w:kern w:val="0"/>
      <w:sz w:val="52"/>
    </w:rPr>
  </w:style>
  <w:style w:type="paragraph" w:customStyle="1" w:styleId="78">
    <w:name w:val="标准文件_封面标准英文名称"/>
    <w:basedOn w:val="1"/>
    <w:qFormat/>
    <w:uiPriority w:val="0"/>
    <w:pPr>
      <w:spacing w:line="240" w:lineRule="auto"/>
      <w:jc w:val="center"/>
    </w:pPr>
    <w:rPr>
      <w:rFonts w:ascii="黑体" w:eastAsia="黑体"/>
      <w:b/>
      <w:sz w:val="28"/>
    </w:rPr>
  </w:style>
  <w:style w:type="paragraph" w:customStyle="1" w:styleId="79">
    <w:name w:val="标准文件_封面发布日期"/>
    <w:basedOn w:val="1"/>
    <w:qFormat/>
    <w:uiPriority w:val="0"/>
    <w:pPr>
      <w:spacing w:line="310" w:lineRule="exact"/>
    </w:pPr>
    <w:rPr>
      <w:rFonts w:ascii="黑体" w:eastAsia="黑体"/>
      <w:kern w:val="0"/>
      <w:sz w:val="28"/>
    </w:rPr>
  </w:style>
  <w:style w:type="paragraph" w:customStyle="1" w:styleId="80">
    <w:name w:val="标准文件_封面密级"/>
    <w:basedOn w:val="1"/>
    <w:qFormat/>
    <w:uiPriority w:val="0"/>
    <w:rPr>
      <w:rFonts w:eastAsia="黑体"/>
      <w:sz w:val="32"/>
    </w:rPr>
  </w:style>
  <w:style w:type="paragraph" w:customStyle="1" w:styleId="81">
    <w:name w:val="标准文件_封面实施日期"/>
    <w:basedOn w:val="1"/>
    <w:qFormat/>
    <w:uiPriority w:val="0"/>
    <w:pPr>
      <w:spacing w:line="310" w:lineRule="exact"/>
      <w:jc w:val="right"/>
    </w:pPr>
    <w:rPr>
      <w:rFonts w:ascii="黑体" w:eastAsia="黑体"/>
      <w:sz w:val="28"/>
    </w:rPr>
  </w:style>
  <w:style w:type="paragraph" w:customStyle="1" w:styleId="82">
    <w:name w:val="标准文件_封面抬头"/>
    <w:basedOn w:val="36"/>
    <w:qFormat/>
    <w:uiPriority w:val="0"/>
    <w:pPr>
      <w:adjustRightInd w:val="0"/>
      <w:spacing w:line="800" w:lineRule="exact"/>
      <w:ind w:firstLine="0" w:firstLineChars="0"/>
      <w:jc w:val="distribute"/>
    </w:pPr>
    <w:rPr>
      <w:rFonts w:ascii="黑体" w:eastAsia="黑体"/>
      <w:b/>
      <w:sz w:val="64"/>
    </w:rPr>
  </w:style>
  <w:style w:type="paragraph" w:customStyle="1" w:styleId="83">
    <w:name w:val="标准文件_附录标识"/>
    <w:next w:val="3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4">
    <w:name w:val="标准文件_附录表标题"/>
    <w:next w:val="3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5">
    <w:name w:val="标准文件_附录一级条标题"/>
    <w:next w:val="3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6">
    <w:name w:val="标准文件_附录二级条标题"/>
    <w:basedOn w:val="85"/>
    <w:next w:val="36"/>
    <w:qFormat/>
    <w:uiPriority w:val="0"/>
    <w:pPr>
      <w:widowControl/>
      <w:numPr>
        <w:ilvl w:val="2"/>
      </w:numPr>
      <w:wordWrap w:val="0"/>
      <w:overflowPunct w:val="0"/>
      <w:autoSpaceDE w:val="0"/>
      <w:autoSpaceDN w:val="0"/>
      <w:textAlignment w:val="baseline"/>
      <w:outlineLvl w:val="3"/>
    </w:pPr>
  </w:style>
  <w:style w:type="paragraph" w:customStyle="1" w:styleId="87">
    <w:name w:val="标准文件_附录公式"/>
    <w:basedOn w:val="64"/>
    <w:next w:val="64"/>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8">
    <w:name w:val="标准文件_附录三级条标题"/>
    <w:next w:val="3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9">
    <w:name w:val="标准文件_附录四级条标题"/>
    <w:next w:val="3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90">
    <w:name w:val="标准文件_附录图标题"/>
    <w:next w:val="3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91">
    <w:name w:val="标准文件_附录五级条标题"/>
    <w:next w:val="3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2">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3">
    <w:name w:val="正文文本 字符"/>
    <w:link w:val="13"/>
    <w:qFormat/>
    <w:uiPriority w:val="0"/>
    <w:rPr>
      <w:kern w:val="2"/>
      <w:sz w:val="21"/>
      <w:szCs w:val="21"/>
    </w:rPr>
  </w:style>
  <w:style w:type="paragraph" w:customStyle="1" w:styleId="94">
    <w:name w:val="标准文件_附录章标题"/>
    <w:next w:val="3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5">
    <w:name w:val="标准文件_公式后的破折号"/>
    <w:basedOn w:val="36"/>
    <w:next w:val="36"/>
    <w:qFormat/>
    <w:uiPriority w:val="0"/>
    <w:pPr>
      <w:ind w:left="488" w:leftChars="200" w:hanging="289" w:hangingChars="290"/>
    </w:pPr>
  </w:style>
  <w:style w:type="paragraph" w:customStyle="1" w:styleId="96">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7">
    <w:name w:val="标准文件_目次、标准名称标题"/>
    <w:basedOn w:val="96"/>
    <w:next w:val="36"/>
    <w:qFormat/>
    <w:uiPriority w:val="0"/>
    <w:pPr>
      <w:spacing w:line="460" w:lineRule="exact"/>
      <w:ind w:left="0" w:firstLine="0"/>
    </w:pPr>
  </w:style>
  <w:style w:type="paragraph" w:customStyle="1" w:styleId="98">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9">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100">
    <w:name w:val="标准文件_破折号列项（二级）"/>
    <w:basedOn w:val="99"/>
    <w:qFormat/>
    <w:uiPriority w:val="0"/>
    <w:pPr>
      <w:numPr>
        <w:numId w:val="10"/>
      </w:numPr>
    </w:pPr>
  </w:style>
  <w:style w:type="character" w:customStyle="1" w:styleId="101">
    <w:name w:val="不明显参考1"/>
    <w:qFormat/>
    <w:uiPriority w:val="31"/>
    <w:rPr>
      <w:smallCaps/>
      <w:color w:val="C0504D"/>
      <w:u w:val="single"/>
    </w:rPr>
  </w:style>
  <w:style w:type="paragraph" w:customStyle="1" w:styleId="102">
    <w:name w:val="标准文件_示例后续"/>
    <w:basedOn w:val="1"/>
    <w:qFormat/>
    <w:uiPriority w:val="0"/>
    <w:pPr>
      <w:adjustRightInd/>
      <w:spacing w:line="240" w:lineRule="auto"/>
      <w:ind w:firstLine="200" w:firstLineChars="200"/>
    </w:pPr>
    <w:rPr>
      <w:sz w:val="18"/>
      <w:szCs w:val="24"/>
    </w:rPr>
  </w:style>
  <w:style w:type="paragraph" w:customStyle="1" w:styleId="103">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character" w:customStyle="1" w:styleId="104">
    <w:name w:val="脚注文本 字符"/>
    <w:link w:val="21"/>
    <w:semiHidden/>
    <w:qFormat/>
    <w:uiPriority w:val="0"/>
    <w:rPr>
      <w:rFonts w:ascii="宋体"/>
      <w:kern w:val="2"/>
      <w:sz w:val="18"/>
      <w:szCs w:val="18"/>
    </w:rPr>
  </w:style>
  <w:style w:type="paragraph" w:customStyle="1" w:styleId="105">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36"/>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64"/>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3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3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64"/>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3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3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3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3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3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36"/>
    <w:qFormat/>
    <w:uiPriority w:val="0"/>
    <w:pPr>
      <w:outlineLvl w:val="4"/>
    </w:pPr>
  </w:style>
  <w:style w:type="paragraph" w:customStyle="1" w:styleId="132">
    <w:name w:val="附录四级无标题条"/>
    <w:basedOn w:val="131"/>
    <w:next w:val="36"/>
    <w:qFormat/>
    <w:uiPriority w:val="0"/>
    <w:pPr>
      <w:outlineLvl w:val="5"/>
    </w:pPr>
  </w:style>
  <w:style w:type="paragraph" w:customStyle="1" w:styleId="133">
    <w:name w:val="附录图"/>
    <w:next w:val="3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36"/>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94"/>
    <w:next w:val="36"/>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36"/>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2"/>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36"/>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38"/>
    <w:qFormat/>
    <w:uiPriority w:val="0"/>
    <w:pPr>
      <w:spacing w:before="0" w:beforeLines="0" w:after="0" w:afterLines="0"/>
      <w:outlineLvl w:val="9"/>
    </w:pPr>
    <w:rPr>
      <w:rFonts w:ascii="宋体" w:eastAsia="宋体"/>
    </w:rPr>
  </w:style>
  <w:style w:type="paragraph" w:customStyle="1" w:styleId="164">
    <w:name w:val="标准文件_五级无标题"/>
    <w:basedOn w:val="42"/>
    <w:qFormat/>
    <w:uiPriority w:val="0"/>
    <w:pPr>
      <w:spacing w:before="0" w:beforeLines="0" w:after="0" w:afterLines="0"/>
      <w:outlineLvl w:val="9"/>
    </w:pPr>
    <w:rPr>
      <w:rFonts w:ascii="宋体" w:eastAsia="宋体"/>
    </w:rPr>
  </w:style>
  <w:style w:type="paragraph" w:customStyle="1" w:styleId="165">
    <w:name w:val="标准文件_三级无标题"/>
    <w:basedOn w:val="40"/>
    <w:qFormat/>
    <w:uiPriority w:val="0"/>
    <w:pPr>
      <w:spacing w:before="0" w:beforeLines="0" w:after="0" w:afterLines="0"/>
      <w:outlineLvl w:val="9"/>
    </w:pPr>
    <w:rPr>
      <w:rFonts w:ascii="宋体" w:eastAsia="宋体"/>
    </w:rPr>
  </w:style>
  <w:style w:type="paragraph" w:customStyle="1" w:styleId="166">
    <w:name w:val="标准文件_二级无标题"/>
    <w:basedOn w:val="39"/>
    <w:qFormat/>
    <w:uiPriority w:val="0"/>
    <w:pPr>
      <w:spacing w:before="0" w:beforeLines="0" w:after="0" w:afterLines="0"/>
      <w:outlineLvl w:val="9"/>
    </w:pPr>
    <w:rPr>
      <w:rFonts w:ascii="宋体" w:eastAsia="宋体"/>
    </w:rPr>
  </w:style>
  <w:style w:type="paragraph" w:customStyle="1" w:styleId="167">
    <w:name w:val="标准_四级无标题"/>
    <w:basedOn w:val="41"/>
    <w:next w:val="36"/>
    <w:qFormat/>
    <w:uiPriority w:val="0"/>
    <w:rPr>
      <w:rFonts w:eastAsia="宋体"/>
    </w:rPr>
  </w:style>
  <w:style w:type="paragraph" w:customStyle="1" w:styleId="168">
    <w:name w:val="标准文件_四级无标题"/>
    <w:basedOn w:val="41"/>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36"/>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36"/>
    <w:qFormat/>
    <w:uiPriority w:val="0"/>
    <w:pPr>
      <w:numPr>
        <w:ilvl w:val="0"/>
        <w:numId w:val="24"/>
      </w:numPr>
      <w:ind w:firstLine="0" w:firstLineChars="0"/>
    </w:pPr>
    <w:rPr>
      <w:rFonts w:cs="Arial"/>
      <w:szCs w:val="28"/>
    </w:rPr>
  </w:style>
  <w:style w:type="paragraph" w:customStyle="1" w:styleId="171">
    <w:name w:val="标准文件_附录标题"/>
    <w:basedOn w:val="83"/>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36"/>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36"/>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3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36"/>
    <w:qFormat/>
    <w:uiPriority w:val="0"/>
    <w:pPr>
      <w:ind w:firstLine="0" w:firstLineChars="0"/>
      <w:jc w:val="center"/>
    </w:pPr>
    <w:rPr>
      <w:sz w:val="18"/>
    </w:rPr>
  </w:style>
  <w:style w:type="paragraph" w:customStyle="1" w:styleId="180">
    <w:name w:val="标准文件_注："/>
    <w:next w:val="3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36"/>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36"/>
    <w:qFormat/>
    <w:uiPriority w:val="0"/>
    <w:rPr>
      <w:rFonts w:ascii="宋体" w:hAnsi="Times New Roman"/>
      <w:sz w:val="21"/>
    </w:rPr>
  </w:style>
  <w:style w:type="paragraph" w:customStyle="1" w:styleId="186">
    <w:name w:val="标准文件_表格续"/>
    <w:basedOn w:val="36"/>
    <w:next w:val="36"/>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36"/>
    <w:qFormat/>
    <w:uiPriority w:val="0"/>
    <w:pPr>
      <w:numPr>
        <w:ilvl w:val="1"/>
        <w:numId w:val="21"/>
      </w:numPr>
      <w:ind w:firstLine="0" w:firstLineChars="0"/>
    </w:pPr>
  </w:style>
  <w:style w:type="paragraph" w:customStyle="1" w:styleId="189">
    <w:name w:val="标准文件_三级项2"/>
    <w:basedOn w:val="36"/>
    <w:qFormat/>
    <w:uiPriority w:val="0"/>
    <w:pPr>
      <w:numPr>
        <w:ilvl w:val="0"/>
        <w:numId w:val="30"/>
      </w:numPr>
      <w:spacing w:line="300" w:lineRule="exact"/>
      <w:ind w:firstLineChars="0"/>
    </w:pPr>
    <w:rPr>
      <w:rFonts w:ascii="Times New Roman"/>
    </w:rPr>
  </w:style>
  <w:style w:type="paragraph" w:customStyle="1" w:styleId="190">
    <w:name w:val="标准文件_一级项2"/>
    <w:basedOn w:val="36"/>
    <w:qFormat/>
    <w:uiPriority w:val="0"/>
    <w:pPr>
      <w:numPr>
        <w:ilvl w:val="0"/>
        <w:numId w:val="31"/>
      </w:numPr>
      <w:spacing w:line="300" w:lineRule="exact"/>
      <w:ind w:firstLineChars="0"/>
    </w:pPr>
    <w:rPr>
      <w:rFonts w:ascii="Times New Roman"/>
    </w:rPr>
  </w:style>
  <w:style w:type="paragraph" w:customStyle="1" w:styleId="191">
    <w:name w:val="标准文件_提示"/>
    <w:basedOn w:val="36"/>
    <w:next w:val="36"/>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2"/>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3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36"/>
    <w:next w:val="3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36"/>
    <w:next w:val="3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36"/>
    <w:next w:val="36"/>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36"/>
    <w:next w:val="36"/>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36"/>
    <w:next w:val="36"/>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36"/>
    <w:next w:val="36"/>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36"/>
    <w:next w:val="36"/>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36"/>
    <w:next w:val="36"/>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36"/>
    <w:qFormat/>
    <w:uiPriority w:val="0"/>
    <w:pPr>
      <w:ind w:left="811" w:firstLine="0" w:firstLineChars="0"/>
    </w:pPr>
    <w:rPr>
      <w:sz w:val="18"/>
    </w:rPr>
  </w:style>
  <w:style w:type="paragraph" w:customStyle="1" w:styleId="207">
    <w:name w:val="标准文件_注X后"/>
    <w:basedOn w:val="36"/>
    <w:qFormat/>
    <w:uiPriority w:val="0"/>
    <w:pPr>
      <w:ind w:left="811" w:firstLine="0" w:firstLineChars="0"/>
    </w:pPr>
    <w:rPr>
      <w:sz w:val="18"/>
    </w:rPr>
  </w:style>
  <w:style w:type="paragraph" w:customStyle="1" w:styleId="208">
    <w:name w:val="标准文件_示例后"/>
    <w:basedOn w:val="36"/>
    <w:qFormat/>
    <w:uiPriority w:val="0"/>
    <w:pPr>
      <w:ind w:left="964" w:firstLine="0" w:firstLineChars="0"/>
    </w:pPr>
    <w:rPr>
      <w:sz w:val="18"/>
    </w:rPr>
  </w:style>
  <w:style w:type="paragraph" w:customStyle="1" w:styleId="209">
    <w:name w:val="标准文件_示例X后"/>
    <w:basedOn w:val="36"/>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36"/>
    <w:next w:val="36"/>
    <w:qFormat/>
    <w:uiPriority w:val="0"/>
    <w:pPr>
      <w:tabs>
        <w:tab w:val="right" w:leader="dot" w:pos="9356"/>
      </w:tabs>
      <w:ind w:left="210" w:hanging="210" w:firstLineChars="0"/>
      <w:jc w:val="left"/>
    </w:pPr>
  </w:style>
  <w:style w:type="paragraph" w:customStyle="1" w:styleId="212">
    <w:name w:val="标准文件_附录一级无标题"/>
    <w:basedOn w:val="85"/>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6"/>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8"/>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9"/>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91"/>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36"/>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36"/>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36"/>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36"/>
    <w:qFormat/>
    <w:uiPriority w:val="0"/>
    <w:pPr>
      <w:spacing w:before="0" w:beforeLines="0" w:after="0" w:afterLines="0" w:line="276" w:lineRule="auto"/>
    </w:pPr>
    <w:rPr>
      <w:rFonts w:ascii="宋体" w:eastAsia="宋体"/>
    </w:rPr>
  </w:style>
  <w:style w:type="paragraph" w:customStyle="1" w:styleId="222">
    <w:name w:val="标准文件_索引标题"/>
    <w:basedOn w:val="71"/>
    <w:next w:val="36"/>
    <w:qFormat/>
    <w:uiPriority w:val="0"/>
    <w:rPr>
      <w:rFonts w:hAnsi="黑体"/>
    </w:rPr>
  </w:style>
  <w:style w:type="paragraph" w:customStyle="1" w:styleId="223">
    <w:name w:val="标准文件_脚注内容"/>
    <w:basedOn w:val="36"/>
    <w:qFormat/>
    <w:uiPriority w:val="0"/>
    <w:pPr>
      <w:ind w:left="400" w:leftChars="200" w:hanging="200" w:hangingChars="200"/>
    </w:pPr>
    <w:rPr>
      <w:sz w:val="15"/>
    </w:rPr>
  </w:style>
  <w:style w:type="paragraph" w:customStyle="1" w:styleId="224">
    <w:name w:val="标准文件_术语条一"/>
    <w:basedOn w:val="163"/>
    <w:next w:val="36"/>
    <w:qFormat/>
    <w:uiPriority w:val="0"/>
  </w:style>
  <w:style w:type="paragraph" w:customStyle="1" w:styleId="225">
    <w:name w:val="标准文件_术语条二"/>
    <w:basedOn w:val="166"/>
    <w:next w:val="36"/>
    <w:qFormat/>
    <w:uiPriority w:val="0"/>
  </w:style>
  <w:style w:type="paragraph" w:customStyle="1" w:styleId="226">
    <w:name w:val="标准文件_术语条三"/>
    <w:basedOn w:val="165"/>
    <w:next w:val="36"/>
    <w:qFormat/>
    <w:uiPriority w:val="0"/>
  </w:style>
  <w:style w:type="paragraph" w:customStyle="1" w:styleId="227">
    <w:name w:val="标准文件_术语条四"/>
    <w:basedOn w:val="168"/>
    <w:next w:val="36"/>
    <w:qFormat/>
    <w:uiPriority w:val="0"/>
  </w:style>
  <w:style w:type="paragraph" w:customStyle="1" w:styleId="228">
    <w:name w:val="标准文件_术语条五"/>
    <w:basedOn w:val="164"/>
    <w:next w:val="36"/>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3.jpeg"/><Relationship Id="rId16" Type="http://schemas.openxmlformats.org/officeDocument/2006/relationships/image" Target="media/image2.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6A559BAA8D104CC8A8AF055B2329A288"/>
        <w:style w:val=""/>
        <w:category>
          <w:name w:val="常规"/>
          <w:gallery w:val="placeholder"/>
        </w:category>
        <w:types>
          <w:type w:val="bbPlcHdr"/>
        </w:types>
        <w:behaviors>
          <w:behavior w:val="content"/>
        </w:behaviors>
        <w:description w:val=""/>
        <w:guid w:val="{CE2B2073-1E98-4C8D-8D30-8AC348AAE4A7}"/>
      </w:docPartPr>
      <w:docPartBody>
        <w:p w14:paraId="5459D1B9">
          <w:pPr>
            <w:pStyle w:val="5"/>
            <w:rPr>
              <w:rFonts w:hint="eastAsia"/>
            </w:rPr>
          </w:pPr>
          <w:r>
            <w:rPr>
              <w:rStyle w:val="4"/>
              <w:rFonts w:hint="eastAsia"/>
            </w:rPr>
            <w:t>单击或点击此处输入文字。</w:t>
          </w:r>
        </w:p>
      </w:docPartBody>
    </w:docPart>
    <w:docPart>
      <w:docPartPr>
        <w:name w:val="69A7BD1C431343DC98789D7A1CF5A7D6"/>
        <w:style w:val=""/>
        <w:category>
          <w:name w:val="常规"/>
          <w:gallery w:val="placeholder"/>
        </w:category>
        <w:types>
          <w:type w:val="bbPlcHdr"/>
        </w:types>
        <w:behaviors>
          <w:behavior w:val="content"/>
        </w:behaviors>
        <w:description w:val=""/>
        <w:guid w:val="{3E241296-2756-4BFB-812E-BE6C8B96A3BF}"/>
      </w:docPartPr>
      <w:docPartBody>
        <w:p w14:paraId="399A3589">
          <w:pPr>
            <w:pStyle w:val="6"/>
            <w:rPr>
              <w:rFonts w:hint="eastAsia"/>
            </w:rPr>
          </w:pPr>
          <w:r>
            <w:rPr>
              <w:rStyle w:val="4"/>
              <w:rFonts w:hint="eastAsia"/>
            </w:rPr>
            <w:t>选择一项。</w:t>
          </w:r>
        </w:p>
      </w:docPartBody>
    </w:docPart>
    <w:docPart>
      <w:docPartPr>
        <w:name w:val="FC54047CE682466CAB7E12D05648E7F9"/>
        <w:style w:val=""/>
        <w:category>
          <w:name w:val="常规"/>
          <w:gallery w:val="placeholder"/>
        </w:category>
        <w:types>
          <w:type w:val="bbPlcHdr"/>
        </w:types>
        <w:behaviors>
          <w:behavior w:val="content"/>
        </w:behaviors>
        <w:description w:val=""/>
        <w:guid w:val="{DF87E3A5-6AE4-4E47-98B4-4E91F3BBEA0B}"/>
      </w:docPartPr>
      <w:docPartBody>
        <w:p w14:paraId="145ED457">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3B6"/>
    <w:rsid w:val="00064281"/>
    <w:rsid w:val="00122D73"/>
    <w:rsid w:val="00130BDD"/>
    <w:rsid w:val="00162ED2"/>
    <w:rsid w:val="00221762"/>
    <w:rsid w:val="002C2DE1"/>
    <w:rsid w:val="00397BC8"/>
    <w:rsid w:val="00400824"/>
    <w:rsid w:val="004E1FF5"/>
    <w:rsid w:val="005951C5"/>
    <w:rsid w:val="005A5550"/>
    <w:rsid w:val="006123B6"/>
    <w:rsid w:val="00627B4D"/>
    <w:rsid w:val="00631300"/>
    <w:rsid w:val="007052F8"/>
    <w:rsid w:val="007531E8"/>
    <w:rsid w:val="0086093B"/>
    <w:rsid w:val="008F49D6"/>
    <w:rsid w:val="009024B3"/>
    <w:rsid w:val="00A313F3"/>
    <w:rsid w:val="00A60008"/>
    <w:rsid w:val="00A61414"/>
    <w:rsid w:val="00B73FE6"/>
    <w:rsid w:val="00BB1D5C"/>
    <w:rsid w:val="00BB7213"/>
    <w:rsid w:val="00C2199A"/>
    <w:rsid w:val="00C3731F"/>
    <w:rsid w:val="00CD28F9"/>
    <w:rsid w:val="00DB5F27"/>
    <w:rsid w:val="00EE28B9"/>
    <w:rsid w:val="00FB4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6A559BAA8D104CC8A8AF055B2329A288"/>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69A7BD1C431343DC98789D7A1CF5A7D6"/>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FC54047CE682466CAB7E12D05648E7F9"/>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9</Pages>
  <Words>2819</Words>
  <Characters>3636</Characters>
  <Lines>158</Lines>
  <Paragraphs>191</Paragraphs>
  <TotalTime>17</TotalTime>
  <ScaleCrop>false</ScaleCrop>
  <LinksUpToDate>false</LinksUpToDate>
  <CharactersWithSpaces>3852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2024-06-04T02:36:00Z</dcterms:created>
  <dc:creator>zhouc</dc:creator>
  <dc:description>&lt;config cover="true" show_menu="true" version="1.0.0" doctype="SDKXY"&gt;_x000d_
&lt;/config&gt;</dc:description>
  <cp:lastModifiedBy>羽我同在</cp:lastModifiedBy>
  <cp:lastPrinted>2020-08-30T10:00:00Z</cp:lastPrinted>
  <dcterms:modified xsi:type="dcterms:W3CDTF">2025-05-06T03:42:21Z</dcterms:modified>
  <dc:title>地方标准</dc:title>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29BD2A0EC64B4A93B4ECB283F051A6CF_12</vt:lpwstr>
  </property>
  <property fmtid="{D5CDD505-2E9C-101B-9397-08002B2CF9AE}" pid="16" name="KSOTemplateDocerSaveRecord">
    <vt:lpwstr>eyJoZGlkIjoiODk2ODJmYTc4ZmIyYTFjYWNmOWJhYTI3NWY2YjIxMzgiLCJ1c2VySWQiOiIyNDg0OTQzNTgifQ==</vt:lpwstr>
  </property>
</Properties>
</file>